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eastAsia="zh-CN"/>
        </w:rPr>
      </w:pPr>
      <w:r>
        <w:rPr>
          <w:rFonts w:hint="eastAsia" w:ascii="宋体" w:hAnsi="宋体" w:cs="宋体"/>
          <w:b/>
          <w:bCs/>
          <w:color w:val="auto"/>
          <w:sz w:val="48"/>
          <w:szCs w:val="48"/>
          <w:highlight w:val="none"/>
        </w:rPr>
        <w:drawing>
          <wp:anchor distT="0" distB="0" distL="114300" distR="114300" simplePos="0" relativeHeight="251674624" behindDoc="0" locked="0" layoutInCell="1" allowOverlap="1">
            <wp:simplePos x="0" y="0"/>
            <wp:positionH relativeFrom="column">
              <wp:posOffset>-779780</wp:posOffset>
            </wp:positionH>
            <wp:positionV relativeFrom="paragraph">
              <wp:posOffset>-694690</wp:posOffset>
            </wp:positionV>
            <wp:extent cx="7551420" cy="10684510"/>
            <wp:effectExtent l="0" t="0" r="11430" b="2540"/>
            <wp:wrapNone/>
            <wp:docPr id="2" name="图片 2" descr="20250603180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06031801_00"/>
                    <pic:cNvPicPr>
                      <a:picLocks noChangeAspect="1"/>
                    </pic:cNvPicPr>
                  </pic:nvPicPr>
                  <pic:blipFill>
                    <a:blip r:embed="rId14"/>
                    <a:stretch>
                      <a:fillRect/>
                    </a:stretch>
                  </pic:blipFill>
                  <pic:spPr>
                    <a:xfrm>
                      <a:off x="0" y="0"/>
                      <a:ext cx="7551420" cy="10684510"/>
                    </a:xfrm>
                    <a:prstGeom prst="rect">
                      <a:avLst/>
                    </a:prstGeom>
                  </pic:spPr>
                </pic:pic>
              </a:graphicData>
            </a:graphic>
          </wp:anchor>
        </w:drawing>
      </w:r>
    </w:p>
    <w:p>
      <w:pPr>
        <w:ind w:firstLine="198" w:firstLineChars="41"/>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广西德元工程项目管理有限责任公司</w:t>
      </w:r>
    </w:p>
    <w:p>
      <w:pPr>
        <w:pStyle w:val="19"/>
        <w:ind w:left="5250" w:firstLine="400"/>
        <w:rPr>
          <w:rFonts w:ascii="宋体" w:hAnsi="宋体" w:cs="宋体"/>
          <w:color w:val="auto"/>
          <w:szCs w:val="21"/>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0528" behindDoc="0" locked="0" layoutInCell="1" allowOverlap="1">
                <wp:simplePos x="0" y="0"/>
                <wp:positionH relativeFrom="column">
                  <wp:posOffset>-132715</wp:posOffset>
                </wp:positionH>
                <wp:positionV relativeFrom="paragraph">
                  <wp:posOffset>69215</wp:posOffset>
                </wp:positionV>
                <wp:extent cx="5944235" cy="8255"/>
                <wp:effectExtent l="19050" t="19050" r="18415" b="29845"/>
                <wp:wrapNone/>
                <wp:docPr id="14" name="直接连接符 1"/>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1" o:spid="_x0000_s1026" o:spt="20" style="position:absolute;left:0pt;flip:y;margin-left:-10.45pt;margin-top:5.45pt;height:0.65pt;width:468.05pt;z-index:251670528;mso-width-relative:page;mso-height-relative:page;" filled="f" stroked="t" coordsize="21600,21600" o:gfxdata="UEsDBAoAAAAAAIdO4kAAAAAAAAAAAAAAAAAEAAAAZHJzL1BLAwQUAAAACACHTuJAZeftHNcAAAAJ&#10;AQAADwAAAGRycy9kb3ducmV2LnhtbE2PwU7DMBBE70j9B2srcUGtHUtUbYjTAxKIA5cGPsCJlyQi&#10;XofYbdp+PdsTnFa7M5p9U+zPfhAnnGIfyEC2ViCQmuB6ag18frystiBisuTsEAgNXDDCvlzcFTZ3&#10;YaYDnqrUCg6hmFsDXUpjLmVsOvQ2rsOIxNpXmLxNvE6tdJOdOdwPUiu1kd72xB86O+Jzh813dfQG&#10;DvXWvr+pnypcaHOdr1V8fRgbY+6XmXoCkfCc/sxww2d0KJmpDkdyUQwGVlrt2MrCbbJhlz1qEDUf&#10;tAZZFvJ/g/IXUEsDBBQAAAAIAIdO4kA7CAuf9gEAAOcDAAAOAAAAZHJzL2Uyb0RvYy54bWytU72O&#10;EzEQ7pF4B8s92SQkEFbZXHHhaBCcxE8/sb1ZS/6Tx5dNXoIXQKKDivJ63objMRh7Q4CjScEW1njm&#10;8+f5vh0vL/bWsJ2KqL1r+GQ05kw54aV224a/e3v1aMEZJnASjHeq4QeF/GL18MGyD7Wa+s4bqSIj&#10;Eod1HxrepRTqqkLRKQs48kE5KrY+Wki0jdtKRuiJ3ZpqOh4/qXofZYheKETKrociPzLGcwh922qh&#10;1l7cWOXSwBqVgUSSsNMB+ap027ZKpNdtiyox03BSmspKl1C8yWu1WkK9jRA6LY4twDkt3NNkQTu6&#10;9ES1hgTsJup/qKwW0aNv00h4Ww1CiiOkYjK+582bDoIqWshqDCfT8f/Rile768i0pEmYcebA0h+/&#10;+3j7/cPnH98+0Xr39QubZJf6gDWBL911PO4wXMcsed9Gy1qjw3siKSaQLLYvHh9OHqt9YoKS82ez&#10;2fTxnDNBtcV0Ps/k1cCS2ULE9EJ5y3LQcKNddgBq2L3ENEB/QXLaONY3fLqYP82UQPPY0hxQaANp&#10;Qrcth9EbLa+0MfkIxu3m0kS2gzwT5Tv28Bcs37IG7AZcKWUY1J0C+dxJlg6BzHL0SHjuwSrJmVH0&#10;pnJUkAm0OQdJ8o0jF7LHg6s52nh5KGaXPP3/4tNxVvOA/bkvp3+/z9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eftHNcAAAAJAQAADwAAAAAAAAABACAAAAAiAAAAZHJzL2Rvd25yZXYueG1sUEsB&#10;AhQAFAAAAAgAh07iQDsIC5/2AQAA5wMAAA4AAAAAAAAAAQAgAAAAJgEAAGRycy9lMm9Eb2MueG1s&#10;UEsFBgAAAAAGAAYAWQEAAI4FAAAAAA==&#10;">
                <v:fill on="f" focussize="0,0"/>
                <v:stroke weight="2.25pt" color="#000000" joinstyle="round"/>
                <v:imagedata o:title=""/>
                <o:lock v:ext="edit" aspectratio="f"/>
              </v:line>
            </w:pict>
          </mc:Fallback>
        </mc:AlternateContent>
      </w:r>
      <w:r>
        <w:rPr>
          <w:rFonts w:hint="eastAsia" w:ascii="宋体" w:hAnsi="宋体" w:cs="宋体"/>
          <w:b/>
          <w:bCs/>
          <w:color w:val="auto"/>
          <w:sz w:val="10"/>
          <w:highlight w:val="none"/>
        </w:rPr>
        <w:t xml:space="preserve">                                                                                                </w:t>
      </w:r>
    </w:p>
    <w:p>
      <w:pPr>
        <w:snapToGrid w:val="0"/>
        <w:jc w:val="center"/>
        <w:rPr>
          <w:rFonts w:ascii="宋体" w:hAnsi="宋体" w:cs="宋体"/>
          <w:b/>
          <w:color w:val="auto"/>
          <w:sz w:val="52"/>
          <w:szCs w:val="52"/>
          <w:highlight w:val="none"/>
        </w:rPr>
      </w:pPr>
    </w:p>
    <w:p>
      <w:pPr>
        <w:snapToGrid w:val="0"/>
        <w:jc w:val="center"/>
        <w:rPr>
          <w:rFonts w:ascii="宋体" w:hAnsi="宋体" w:cs="宋体"/>
          <w:b/>
          <w:color w:val="auto"/>
          <w:sz w:val="44"/>
          <w:szCs w:val="44"/>
          <w:highlight w:val="none"/>
        </w:rPr>
      </w:pPr>
      <w:r>
        <w:rPr>
          <w:rFonts w:hint="eastAsia" w:ascii="宋体" w:hAnsi="宋体" w:cs="宋体"/>
          <w:b/>
          <w:color w:val="auto"/>
          <w:sz w:val="72"/>
          <w:szCs w:val="72"/>
          <w:highlight w:val="none"/>
        </w:rPr>
        <w:t>竞争性磋商采购文件</w:t>
      </w: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（服务类）</w:t>
      </w:r>
    </w:p>
    <w:p>
      <w:pPr>
        <w:jc w:val="center"/>
        <w:rPr>
          <w:rFonts w:ascii="宋体" w:hAnsi="宋体" w:cs="宋体"/>
          <w:b/>
          <w:color w:val="auto"/>
          <w:sz w:val="32"/>
          <w:szCs w:val="32"/>
          <w:highlight w:val="none"/>
        </w:rPr>
      </w:pPr>
      <w:r>
        <w:rPr>
          <w:rFonts w:hint="eastAsia" w:ascii="宋体" w:hAnsi="宋体" w:cs="宋体"/>
          <w:color w:val="auto"/>
          <w:highlight w:val="none"/>
        </w:rPr>
        <w:drawing>
          <wp:anchor distT="0" distB="0" distL="114300" distR="114300" simplePos="0" relativeHeight="251672576" behindDoc="0" locked="0" layoutInCell="1" allowOverlap="1">
            <wp:simplePos x="0" y="0"/>
            <wp:positionH relativeFrom="column">
              <wp:posOffset>1981835</wp:posOffset>
            </wp:positionH>
            <wp:positionV relativeFrom="paragraph">
              <wp:posOffset>110490</wp:posOffset>
            </wp:positionV>
            <wp:extent cx="1991995" cy="2016760"/>
            <wp:effectExtent l="0" t="0" r="8255" b="2540"/>
            <wp:wrapSquare wrapText="bothSides"/>
            <wp:docPr id="1" name="图片 39"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公司logo"/>
                    <pic:cNvPicPr>
                      <a:picLocks noChangeAspect="1"/>
                    </pic:cNvPicPr>
                  </pic:nvPicPr>
                  <pic:blipFill>
                    <a:blip r:embed="rId15" cstate="print"/>
                    <a:stretch>
                      <a:fillRect/>
                    </a:stretch>
                  </pic:blipFill>
                  <pic:spPr>
                    <a:xfrm>
                      <a:off x="0" y="0"/>
                      <a:ext cx="1991995" cy="2016760"/>
                    </a:xfrm>
                    <a:prstGeom prst="rect">
                      <a:avLst/>
                    </a:prstGeom>
                    <a:noFill/>
                    <a:ln>
                      <a:noFill/>
                    </a:ln>
                  </pic:spPr>
                </pic:pic>
              </a:graphicData>
            </a:graphic>
          </wp:anchor>
        </w:drawing>
      </w:r>
    </w:p>
    <w:p>
      <w:pPr>
        <w:jc w:val="center"/>
        <w:rPr>
          <w:rFonts w:ascii="宋体" w:hAnsi="宋体" w:cs="宋体"/>
          <w:b/>
          <w:color w:val="auto"/>
          <w:sz w:val="32"/>
          <w:szCs w:val="32"/>
          <w:highlight w:val="none"/>
        </w:rPr>
      </w:pPr>
    </w:p>
    <w:p>
      <w:pPr>
        <w:jc w:val="center"/>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ascii="宋体" w:hAnsi="宋体" w:cs="宋体"/>
          <w:b/>
          <w:color w:val="auto"/>
          <w:sz w:val="32"/>
          <w:szCs w:val="32"/>
          <w:highlight w:val="none"/>
        </w:rPr>
      </w:pPr>
    </w:p>
    <w:p>
      <w:pPr>
        <w:spacing w:line="360" w:lineRule="auto"/>
        <w:ind w:left="2243" w:leftChars="456" w:hanging="1285" w:hangingChars="4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项目名称：</w:t>
      </w:r>
      <w:r>
        <w:rPr>
          <w:rFonts w:hint="eastAsia" w:ascii="宋体" w:hAnsi="宋体" w:cs="宋体"/>
          <w:b/>
          <w:color w:val="auto"/>
          <w:sz w:val="32"/>
          <w:szCs w:val="32"/>
          <w:highlight w:val="none"/>
          <w:lang w:eastAsia="zh-CN"/>
        </w:rPr>
        <w:t>农情系统、自然灾害预警监控系统、农药数字监管平台、粮食功能区管理平台、协同办公系统运维、网络等保测评和商密应用安全评估服务、农产品价格监测预警系统运维及数据采集服务（</w:t>
      </w:r>
      <w:r>
        <w:rPr>
          <w:rFonts w:hint="eastAsia" w:ascii="宋体" w:hAnsi="宋体" w:cs="宋体"/>
          <w:b/>
          <w:color w:val="auto"/>
          <w:sz w:val="32"/>
          <w:szCs w:val="32"/>
          <w:highlight w:val="none"/>
          <w:lang w:val="en-US" w:eastAsia="zh-CN"/>
        </w:rPr>
        <w:t>标项一、标项二、标项四、标项五</w:t>
      </w:r>
      <w:r>
        <w:rPr>
          <w:rFonts w:hint="eastAsia" w:ascii="宋体" w:hAnsi="宋体" w:cs="宋体"/>
          <w:b/>
          <w:color w:val="auto"/>
          <w:sz w:val="32"/>
          <w:szCs w:val="32"/>
          <w:highlight w:val="none"/>
          <w:lang w:eastAsia="zh-CN"/>
        </w:rPr>
        <w:t>）（重）</w:t>
      </w:r>
    </w:p>
    <w:p>
      <w:pPr>
        <w:spacing w:line="360" w:lineRule="auto"/>
        <w:ind w:firstLine="964" w:firstLineChars="300"/>
        <w:rPr>
          <w:rFonts w:ascii="宋体" w:hAnsi="宋体" w:cs="宋体"/>
          <w:color w:val="auto"/>
          <w:highlight w:val="none"/>
        </w:rPr>
      </w:pPr>
      <w:r>
        <w:rPr>
          <w:rFonts w:hint="eastAsia" w:ascii="宋体" w:hAnsi="宋体" w:cs="宋体"/>
          <w:b/>
          <w:color w:val="auto"/>
          <w:sz w:val="32"/>
          <w:szCs w:val="32"/>
          <w:highlight w:val="none"/>
        </w:rPr>
        <w:t>项目编号：</w:t>
      </w:r>
      <w:r>
        <w:rPr>
          <w:rFonts w:hint="eastAsia" w:ascii="宋体" w:hAnsi="宋体" w:cs="宋体"/>
          <w:b/>
          <w:color w:val="auto"/>
          <w:sz w:val="32"/>
          <w:szCs w:val="32"/>
          <w:highlight w:val="none"/>
          <w:lang w:eastAsia="zh-CN"/>
        </w:rPr>
        <w:t>GXZC2025-C3-001456-GXDY</w:t>
      </w:r>
      <w:r>
        <w:rPr>
          <w:rFonts w:hint="eastAsia" w:ascii="宋体" w:hAnsi="宋体" w:cs="宋体"/>
          <w:b/>
          <w:color w:val="auto"/>
          <w:sz w:val="32"/>
          <w:szCs w:val="32"/>
          <w:highlight w:val="none"/>
        </w:rPr>
        <w:t xml:space="preserve"> </w:t>
      </w:r>
    </w:p>
    <w:p>
      <w:pPr>
        <w:spacing w:line="360" w:lineRule="auto"/>
        <w:ind w:firstLine="890" w:firstLineChars="445"/>
        <w:rPr>
          <w:rFonts w:ascii="宋体" w:hAnsi="宋体" w:cs="宋体"/>
          <w:b/>
          <w:color w:val="auto"/>
          <w:sz w:val="32"/>
          <w:szCs w:val="32"/>
          <w:highlight w:val="none"/>
        </w:rPr>
      </w:pPr>
      <w:r>
        <w:rPr>
          <w:rFonts w:hint="eastAsia" w:ascii="宋体" w:hAnsi="宋体" w:cs="宋体"/>
          <w:color w:val="auto"/>
          <w:sz w:val="20"/>
          <w:highlight w:val="none"/>
          <w:u w:val="single"/>
        </w:rPr>
        <mc:AlternateContent>
          <mc:Choice Requires="wps">
            <w:drawing>
              <wp:anchor distT="0" distB="0" distL="114300" distR="114300" simplePos="0" relativeHeight="251671552" behindDoc="0" locked="0" layoutInCell="1" allowOverlap="1">
                <wp:simplePos x="0" y="0"/>
                <wp:positionH relativeFrom="column">
                  <wp:posOffset>-160655</wp:posOffset>
                </wp:positionH>
                <wp:positionV relativeFrom="paragraph">
                  <wp:posOffset>167640</wp:posOffset>
                </wp:positionV>
                <wp:extent cx="5944235" cy="8255"/>
                <wp:effectExtent l="19050" t="19050" r="18415" b="29845"/>
                <wp:wrapNone/>
                <wp:docPr id="13" name="直接连接符 2"/>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接连接符 2" o:spid="_x0000_s1026" o:spt="20" style="position:absolute;left:0pt;flip:y;margin-left:-12.65pt;margin-top:13.2pt;height:0.65pt;width:468.05pt;z-index:251671552;mso-width-relative:page;mso-height-relative:page;" filled="f" stroked="t" coordsize="21600,21600" o:gfxdata="UEsDBAoAAAAAAIdO4kAAAAAAAAAAAAAAAAAEAAAAZHJzL1BLAwQUAAAACACHTuJA46Sc0NgAAAAJ&#10;AQAADwAAAGRycy9kb3ducmV2LnhtbE2PwU7DMAyG70i8Q2QkLmhLWqDbStMdkEAcuKzwAG6TtRWN&#10;U5ps3fb0mBMcbX/6/f3F9uQGcbRT6D1pSJYKhKXGm55aDZ8fL4s1iBCRDA6erIazDbAtr68KzI2f&#10;aWePVWwFh1DIUUMX45hLGZrOOgxLP1ri295PDiOPUyvNhDOHu0GmSmXSYU/8ocPRPne2+aoOTsOu&#10;XuP7m/qu/Jmyy3ypwuvd2Gh9e5OoJxDRnuIfDL/6rA4lO9X+QCaIQcMifbxnVEOaPYBgYJMo7lLz&#10;YrUCWRbyf4PyB1BLAwQUAAAACACHTuJAGi7LOfcBAADnAwAADgAAAGRycy9lMm9Eb2MueG1srVO9&#10;jhMxEO6ReAfLPdnc3gXCKpsrLhwNgpP46Se2N2vJf/L4sslL8AJIdFBR0vM2HI/B2BsCHE0KtrDG&#10;M58/z/fteHG5s4ZtVUTtXcvPJlPOlBNeardp+ds314/mnGECJ8F4p1q+V8gvlw8fLIbQqNr33kgV&#10;GZE4bIbQ8j6l0FQVil5ZwIkPylGx89FCom3cVDLCQOzWVPV0+rgafJQheqEQKbsai/zAGE8h9F2n&#10;hVp5cWuVSyNrVAYSScJeB+TL0m3XKZFedR2qxEzLSWkqK11C8Tqv1XIBzSZC6LU4tACntHBPkwXt&#10;6NIj1QoSsNuo/6GyWkSPvksT4W01CimOkIqz6T1vXvcQVNFCVmM4mo7/j1a83N5EpiVNwjlnDiz9&#10;8bsPX7+///Tj20da7758ZnV2aQjYEPjK3cTDDsNNzJJ3XbSsMzq8I5JiAsliu+Lx/uix2iUmKDl7&#10;enFRn884E1Sb17NZJq9GlswWIqbnyluWg5Yb7bID0MD2BaYR+guS08axoeX1fPYkUwLNY0dzQKEN&#10;pAndphxGb7S81sbkIxg36ysT2RbyTJTv0MNfsHzLCrAfcaWUYdD0CuQzJ1naBzLL0SPhuQerJGdG&#10;0ZvKUUEm0OYUJMk3jlzIHo+u5mjt5b6YXfL0/4tPh1nNA/bnvpz+/T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pJzQ2AAAAAkBAAAPAAAAAAAAAAEAIAAAACIAAABkcnMvZG93bnJldi54bWxQ&#10;SwECFAAUAAAACACHTuJAGi7LOfcBAADnAwAADgAAAAAAAAABACAAAAAnAQAAZHJzL2Uyb0RvYy54&#10;bWxQSwUGAAAAAAYABgBZAQAAkAUAAAAA&#10;">
                <v:fill on="f" focussize="0,0"/>
                <v:stroke weight="2.25pt" color="#000000" joinstyle="round"/>
                <v:imagedata o:title=""/>
                <o:lock v:ext="edit" aspectratio="f"/>
              </v:line>
            </w:pict>
          </mc:Fallback>
        </mc:AlternateContent>
      </w:r>
    </w:p>
    <w:p>
      <w:pPr>
        <w:spacing w:line="360" w:lineRule="auto"/>
        <w:ind w:firstLine="1430" w:firstLineChars="445"/>
        <w:rPr>
          <w:rFonts w:ascii="宋体" w:hAnsi="宋体" w:cs="宋体"/>
          <w:b/>
          <w:color w:val="auto"/>
          <w:sz w:val="32"/>
          <w:szCs w:val="32"/>
          <w:highlight w:val="none"/>
        </w:rPr>
      </w:pPr>
    </w:p>
    <w:p>
      <w:pPr>
        <w:spacing w:line="360" w:lineRule="auto"/>
        <w:ind w:firstLine="964" w:firstLineChars="300"/>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lang w:eastAsia="zh-CN"/>
        </w:rPr>
        <w:t>广西壮族自治区农业信息中心</w:t>
      </w:r>
    </w:p>
    <w:p>
      <w:pPr>
        <w:spacing w:line="360" w:lineRule="auto"/>
        <w:ind w:firstLine="964" w:firstLineChars="300"/>
        <w:rPr>
          <w:rFonts w:ascii="宋体" w:hAnsi="宋体" w:cs="宋体"/>
          <w:b/>
          <w:color w:val="auto"/>
          <w:sz w:val="32"/>
          <w:szCs w:val="32"/>
          <w:highlight w:val="none"/>
        </w:rPr>
      </w:pPr>
      <w:r>
        <w:rPr>
          <w:rFonts w:hint="eastAsia" w:ascii="宋体" w:hAnsi="宋体" w:cs="宋体"/>
          <w:b/>
          <w:color w:val="auto"/>
          <w:sz w:val="32"/>
          <w:szCs w:val="32"/>
          <w:highlight w:val="none"/>
        </w:rPr>
        <w:t>采购代理机构：广西德元工程项目管理有限责任公司</w:t>
      </w:r>
    </w:p>
    <w:p>
      <w:pPr>
        <w:spacing w:line="360" w:lineRule="auto"/>
        <w:rPr>
          <w:rFonts w:ascii="宋体" w:hAnsi="宋体" w:cs="宋体"/>
          <w:b/>
          <w:color w:val="auto"/>
          <w:sz w:val="32"/>
          <w:szCs w:val="32"/>
          <w:highlight w:val="none"/>
        </w:rPr>
      </w:pPr>
    </w:p>
    <w:p>
      <w:pPr>
        <w:pStyle w:val="23"/>
        <w:snapToGrid w:val="0"/>
        <w:spacing w:before="120" w:after="120" w:line="440" w:lineRule="exact"/>
        <w:jc w:val="center"/>
        <w:rPr>
          <w:rFonts w:hAnsi="宋体" w:cs="宋体"/>
          <w:b/>
          <w:bCs/>
          <w:color w:val="auto"/>
          <w:w w:val="95"/>
          <w:sz w:val="32"/>
          <w:szCs w:val="32"/>
          <w:highlight w:val="none"/>
        </w:rPr>
      </w:pPr>
      <w:r>
        <w:rPr>
          <w:rFonts w:hint="eastAsia" w:hAnsi="宋体" w:cs="宋体"/>
          <w:b/>
          <w:color w:val="auto"/>
          <w:sz w:val="32"/>
          <w:szCs w:val="32"/>
          <w:highlight w:val="none"/>
        </w:rPr>
        <w:t>2025年</w:t>
      </w:r>
      <w:r>
        <w:rPr>
          <w:rFonts w:hint="eastAsia" w:hAnsi="宋体" w:cs="宋体"/>
          <w:b/>
          <w:color w:val="auto"/>
          <w:sz w:val="32"/>
          <w:szCs w:val="32"/>
          <w:highlight w:val="none"/>
          <w:lang w:val="en-US" w:eastAsia="zh-CN"/>
        </w:rPr>
        <w:t>6</w:t>
      </w:r>
      <w:r>
        <w:rPr>
          <w:rFonts w:hint="eastAsia" w:hAnsi="宋体" w:cs="宋体"/>
          <w:b/>
          <w:color w:val="auto"/>
          <w:sz w:val="32"/>
          <w:szCs w:val="32"/>
          <w:highlight w:val="none"/>
        </w:rPr>
        <w:t>月</w:t>
      </w:r>
    </w:p>
    <w:p>
      <w:pPr>
        <w:pStyle w:val="23"/>
        <w:snapToGrid w:val="0"/>
        <w:spacing w:before="120" w:after="120" w:line="440" w:lineRule="exact"/>
        <w:jc w:val="center"/>
        <w:rPr>
          <w:rFonts w:hAnsi="宋体" w:cs="宋体"/>
          <w:b/>
          <w:bCs/>
          <w:color w:val="auto"/>
          <w:w w:val="95"/>
          <w:sz w:val="32"/>
          <w:szCs w:val="32"/>
          <w:highlight w:val="none"/>
        </w:rPr>
      </w:pPr>
    </w:p>
    <w:p>
      <w:pPr>
        <w:spacing w:line="440" w:lineRule="exact"/>
        <w:jc w:val="center"/>
        <w:rPr>
          <w:rFonts w:ascii="宋体" w:hAnsi="宋体" w:cs="宋体"/>
          <w:color w:val="auto"/>
          <w:sz w:val="44"/>
          <w:szCs w:val="44"/>
          <w:highlight w:val="none"/>
        </w:rPr>
      </w:pPr>
    </w:p>
    <w:p>
      <w:pPr>
        <w:spacing w:line="440" w:lineRule="exact"/>
        <w:jc w:val="center"/>
        <w:rPr>
          <w:rFonts w:ascii="宋体" w:hAnsi="宋体" w:cs="宋体"/>
          <w:color w:val="auto"/>
          <w:sz w:val="44"/>
          <w:szCs w:val="44"/>
          <w:highlight w:val="none"/>
        </w:rPr>
      </w:pPr>
    </w:p>
    <w:p>
      <w:pPr>
        <w:spacing w:line="440" w:lineRule="exact"/>
        <w:jc w:val="center"/>
        <w:rPr>
          <w:rFonts w:ascii="宋体" w:hAnsi="宋体" w:cs="宋体"/>
          <w:color w:val="auto"/>
          <w:sz w:val="44"/>
          <w:szCs w:val="44"/>
          <w:highlight w:val="none"/>
        </w:rPr>
      </w:pPr>
    </w:p>
    <w:p>
      <w:pPr>
        <w:jc w:val="center"/>
        <w:rPr>
          <w:rFonts w:ascii="宋体" w:hAnsi="宋体" w:cs="宋体"/>
          <w:color w:val="auto"/>
          <w:sz w:val="44"/>
          <w:szCs w:val="44"/>
          <w:highlight w:val="none"/>
        </w:rPr>
      </w:pPr>
      <w:r>
        <w:rPr>
          <w:rFonts w:hint="eastAsia" w:ascii="宋体" w:hAnsi="宋体" w:cs="宋体"/>
          <w:color w:val="auto"/>
          <w:sz w:val="44"/>
          <w:szCs w:val="44"/>
          <w:highlight w:val="none"/>
        </w:rPr>
        <w:t>目       录</w:t>
      </w:r>
    </w:p>
    <w:p>
      <w:pPr>
        <w:spacing w:line="440" w:lineRule="exact"/>
        <w:jc w:val="left"/>
        <w:rPr>
          <w:rFonts w:ascii="宋体" w:hAnsi="宋体" w:cs="宋体"/>
          <w:color w:val="auto"/>
          <w:sz w:val="32"/>
          <w:szCs w:val="32"/>
          <w:highlight w:val="none"/>
        </w:rPr>
      </w:pPr>
    </w:p>
    <w:p>
      <w:pPr>
        <w:pStyle w:val="29"/>
        <w:spacing w:line="440" w:lineRule="exact"/>
        <w:ind w:left="0" w:leftChars="0" w:firstLine="472" w:firstLineChars="147"/>
        <w:rPr>
          <w:rFonts w:cs="宋体"/>
          <w:b w:val="0"/>
          <w:bCs w:val="0"/>
          <w:caps w:val="0"/>
          <w:color w:val="auto"/>
          <w:sz w:val="21"/>
          <w:szCs w:val="22"/>
          <w:highlight w:val="none"/>
        </w:rPr>
      </w:pPr>
      <w:r>
        <w:rPr>
          <w:rFonts w:hint="eastAsia" w:cs="宋体"/>
          <w:color w:val="auto"/>
          <w:sz w:val="32"/>
          <w:szCs w:val="32"/>
          <w:highlight w:val="none"/>
        </w:rPr>
        <w:fldChar w:fldCharType="begin"/>
      </w:r>
      <w:r>
        <w:rPr>
          <w:rStyle w:val="48"/>
          <w:rFonts w:hint="eastAsia" w:cs="宋体"/>
          <w:color w:val="auto"/>
          <w:sz w:val="32"/>
          <w:szCs w:val="32"/>
          <w:highlight w:val="none"/>
        </w:rPr>
        <w:instrText xml:space="preserve"> TOC \o "1-3" \h \z </w:instrText>
      </w:r>
      <w:r>
        <w:rPr>
          <w:rFonts w:hint="eastAsia"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"_Toc88747291" </w:instrText>
      </w:r>
      <w:r>
        <w:rPr>
          <w:color w:val="auto"/>
          <w:highlight w:val="none"/>
        </w:rPr>
        <w:fldChar w:fldCharType="separate"/>
      </w:r>
      <w:r>
        <w:rPr>
          <w:rStyle w:val="48"/>
          <w:rFonts w:hint="eastAsia" w:cs="宋体"/>
          <w:color w:val="auto"/>
          <w:highlight w:val="none"/>
        </w:rPr>
        <w:t>第一章竞争性磋商采购公告</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_Toc88747291 \h </w:instrText>
      </w:r>
      <w:r>
        <w:rPr>
          <w:rFonts w:hint="eastAsia" w:cs="宋体"/>
          <w:color w:val="auto"/>
          <w:highlight w:val="none"/>
        </w:rPr>
        <w:fldChar w:fldCharType="separate"/>
      </w:r>
      <w:r>
        <w:rPr>
          <w:rFonts w:hint="eastAsia" w:cs="宋体"/>
          <w:color w:val="auto"/>
          <w:highlight w:val="none"/>
        </w:rPr>
        <w:t>1</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"_Toc88747292" </w:instrText>
      </w:r>
      <w:r>
        <w:rPr>
          <w:color w:val="auto"/>
          <w:highlight w:val="none"/>
        </w:rPr>
        <w:fldChar w:fldCharType="separate"/>
      </w:r>
      <w:r>
        <w:rPr>
          <w:rStyle w:val="48"/>
          <w:rFonts w:hint="eastAsia" w:cs="宋体"/>
          <w:color w:val="auto"/>
          <w:highlight w:val="none"/>
        </w:rPr>
        <w:t>第二章供应商须知</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_Toc88747292 \h </w:instrText>
      </w:r>
      <w:r>
        <w:rPr>
          <w:rFonts w:hint="eastAsia" w:cs="宋体"/>
          <w:color w:val="auto"/>
          <w:highlight w:val="none"/>
        </w:rPr>
        <w:fldChar w:fldCharType="separate"/>
      </w:r>
      <w:r>
        <w:rPr>
          <w:rFonts w:hint="eastAsia" w:cs="宋体"/>
          <w:color w:val="auto"/>
          <w:highlight w:val="none"/>
        </w:rPr>
        <w:t>6</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"_Toc88747293" </w:instrText>
      </w:r>
      <w:r>
        <w:rPr>
          <w:color w:val="auto"/>
          <w:highlight w:val="none"/>
        </w:rPr>
        <w:fldChar w:fldCharType="separate"/>
      </w:r>
      <w:r>
        <w:rPr>
          <w:rStyle w:val="48"/>
          <w:rFonts w:hint="eastAsia" w:cs="宋体"/>
          <w:color w:val="auto"/>
          <w:highlight w:val="none"/>
        </w:rPr>
        <w:t>第三章项目采购需求</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_Toc88747293 \h </w:instrText>
      </w:r>
      <w:r>
        <w:rPr>
          <w:rFonts w:hint="eastAsia" w:cs="宋体"/>
          <w:color w:val="auto"/>
          <w:highlight w:val="none"/>
        </w:rPr>
        <w:fldChar w:fldCharType="separate"/>
      </w:r>
      <w:r>
        <w:rPr>
          <w:rFonts w:hint="eastAsia" w:cs="宋体"/>
          <w:color w:val="auto"/>
          <w:highlight w:val="none"/>
        </w:rPr>
        <w:t>32</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"_Toc88747294" </w:instrText>
      </w:r>
      <w:r>
        <w:rPr>
          <w:color w:val="auto"/>
          <w:highlight w:val="none"/>
        </w:rPr>
        <w:fldChar w:fldCharType="separate"/>
      </w:r>
      <w:r>
        <w:rPr>
          <w:rStyle w:val="48"/>
          <w:rFonts w:hint="eastAsia" w:cs="宋体"/>
          <w:color w:val="auto"/>
          <w:highlight w:val="none"/>
        </w:rPr>
        <w:t>第四章响应文件格式</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_Toc88747294 \h </w:instrText>
      </w:r>
      <w:r>
        <w:rPr>
          <w:rFonts w:hint="eastAsia" w:cs="宋体"/>
          <w:color w:val="auto"/>
          <w:highlight w:val="none"/>
        </w:rPr>
        <w:fldChar w:fldCharType="separate"/>
      </w:r>
      <w:r>
        <w:rPr>
          <w:rFonts w:hint="eastAsia" w:cs="宋体"/>
          <w:color w:val="auto"/>
          <w:highlight w:val="none"/>
        </w:rPr>
        <w:t>55</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"_Toc88747295" </w:instrText>
      </w:r>
      <w:r>
        <w:rPr>
          <w:color w:val="auto"/>
          <w:highlight w:val="none"/>
        </w:rPr>
        <w:fldChar w:fldCharType="separate"/>
      </w:r>
      <w:r>
        <w:rPr>
          <w:rStyle w:val="48"/>
          <w:rFonts w:hint="eastAsia" w:cs="宋体"/>
          <w:color w:val="auto"/>
          <w:highlight w:val="none"/>
        </w:rPr>
        <w:t>第五章合同主要条款</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_Toc88747295 \h </w:instrText>
      </w:r>
      <w:r>
        <w:rPr>
          <w:rFonts w:hint="eastAsia" w:cs="宋体"/>
          <w:color w:val="auto"/>
          <w:highlight w:val="none"/>
        </w:rPr>
        <w:fldChar w:fldCharType="separate"/>
      </w:r>
      <w:r>
        <w:rPr>
          <w:rFonts w:hint="eastAsia" w:cs="宋体"/>
          <w:color w:val="auto"/>
          <w:highlight w:val="none"/>
        </w:rPr>
        <w:t>82</w:t>
      </w:r>
      <w:r>
        <w:rPr>
          <w:rFonts w:hint="eastAsia" w:cs="宋体"/>
          <w:color w:val="auto"/>
          <w:highlight w:val="none"/>
        </w:rPr>
        <w:fldChar w:fldCharType="end"/>
      </w:r>
      <w:r>
        <w:rPr>
          <w:rFonts w:hint="eastAsia" w:cs="宋体"/>
          <w:color w:val="auto"/>
          <w:highlight w:val="none"/>
        </w:rPr>
        <w:fldChar w:fldCharType="end"/>
      </w:r>
    </w:p>
    <w:p>
      <w:pPr>
        <w:pStyle w:val="29"/>
        <w:spacing w:line="440" w:lineRule="exact"/>
        <w:ind w:firstLine="330"/>
        <w:rPr>
          <w:rFonts w:cs="宋体"/>
          <w:b w:val="0"/>
          <w:bCs w:val="0"/>
          <w:caps w:val="0"/>
          <w:color w:val="auto"/>
          <w:sz w:val="21"/>
          <w:szCs w:val="22"/>
          <w:highlight w:val="none"/>
        </w:rPr>
      </w:pPr>
      <w:r>
        <w:rPr>
          <w:color w:val="auto"/>
          <w:highlight w:val="none"/>
        </w:rPr>
        <w:fldChar w:fldCharType="begin"/>
      </w:r>
      <w:r>
        <w:rPr>
          <w:color w:val="auto"/>
          <w:highlight w:val="none"/>
        </w:rPr>
        <w:instrText xml:space="preserve"> HYPERLINK \l "_Toc88747296" </w:instrText>
      </w:r>
      <w:r>
        <w:rPr>
          <w:color w:val="auto"/>
          <w:highlight w:val="none"/>
        </w:rPr>
        <w:fldChar w:fldCharType="separate"/>
      </w:r>
      <w:r>
        <w:rPr>
          <w:rStyle w:val="48"/>
          <w:rFonts w:hint="eastAsia" w:cs="宋体"/>
          <w:color w:val="auto"/>
          <w:highlight w:val="none"/>
        </w:rPr>
        <w:t>第六章评审方法和评审标准</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_Toc88747296 \h </w:instrText>
      </w:r>
      <w:r>
        <w:rPr>
          <w:rFonts w:hint="eastAsia" w:cs="宋体"/>
          <w:color w:val="auto"/>
          <w:highlight w:val="none"/>
        </w:rPr>
        <w:fldChar w:fldCharType="separate"/>
      </w:r>
      <w:r>
        <w:rPr>
          <w:rFonts w:hint="eastAsia" w:cs="宋体"/>
          <w:color w:val="auto"/>
          <w:highlight w:val="none"/>
        </w:rPr>
        <w:t>87</w:t>
      </w:r>
      <w:r>
        <w:rPr>
          <w:rFonts w:hint="eastAsia" w:cs="宋体"/>
          <w:color w:val="auto"/>
          <w:highlight w:val="none"/>
        </w:rPr>
        <w:fldChar w:fldCharType="end"/>
      </w:r>
      <w:r>
        <w:rPr>
          <w:rFonts w:hint="eastAsia" w:cs="宋体"/>
          <w:color w:val="auto"/>
          <w:highlight w:val="none"/>
        </w:rPr>
        <w:fldChar w:fldCharType="end"/>
      </w:r>
    </w:p>
    <w:p>
      <w:pPr>
        <w:spacing w:line="440" w:lineRule="exact"/>
        <w:jc w:val="left"/>
        <w:rPr>
          <w:rStyle w:val="48"/>
          <w:rFonts w:ascii="宋体" w:hAnsi="宋体" w:cs="宋体"/>
          <w:b/>
          <w:color w:val="auto"/>
          <w:sz w:val="32"/>
          <w:szCs w:val="32"/>
          <w:highlight w:val="none"/>
        </w:rPr>
      </w:pPr>
      <w:r>
        <w:rPr>
          <w:rFonts w:hint="eastAsia" w:ascii="宋体" w:hAnsi="宋体" w:cs="宋体"/>
          <w:b/>
          <w:color w:val="auto"/>
          <w:sz w:val="32"/>
          <w:szCs w:val="32"/>
          <w:highlight w:val="none"/>
        </w:rPr>
        <w:fldChar w:fldCharType="end"/>
      </w:r>
    </w:p>
    <w:p>
      <w:pPr>
        <w:spacing w:line="440" w:lineRule="exact"/>
        <w:jc w:val="left"/>
        <w:rPr>
          <w:rFonts w:ascii="宋体" w:hAnsi="宋体" w:cs="宋体"/>
          <w:color w:val="auto"/>
          <w:sz w:val="32"/>
          <w:szCs w:val="32"/>
          <w:highlight w:val="none"/>
        </w:rPr>
      </w:pPr>
    </w:p>
    <w:p>
      <w:pPr>
        <w:pStyle w:val="4"/>
        <w:spacing w:line="440" w:lineRule="exact"/>
        <w:jc w:val="center"/>
        <w:rPr>
          <w:rFonts w:ascii="宋体" w:hAnsi="宋体" w:cs="宋体"/>
          <w:color w:val="auto"/>
          <w:sz w:val="32"/>
          <w:szCs w:val="32"/>
          <w:highlight w:val="none"/>
        </w:rPr>
        <w:sectPr>
          <w:headerReference r:id="rId3" w:type="default"/>
          <w:pgSz w:w="11906" w:h="16838"/>
          <w:pgMar w:top="1134" w:right="1247" w:bottom="1134" w:left="1247" w:header="851" w:footer="992" w:gutter="0"/>
          <w:cols w:space="720" w:num="1"/>
          <w:docGrid w:linePitch="312" w:charSpace="0"/>
        </w:sectPr>
      </w:pPr>
      <w:bookmarkStart w:id="0" w:name="_Toc88747291"/>
    </w:p>
    <w:p>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第一章 竞争性磋商采购公告</w:t>
      </w:r>
      <w:bookmarkEnd w:id="0"/>
    </w:p>
    <w:p>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项目概况：</w:t>
      </w:r>
    </w:p>
    <w:p>
      <w:pPr>
        <w:pStyle w:val="188"/>
        <w:widowControl w:val="0"/>
        <w:spacing w:after="120" w:line="44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u w:val="singl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r>
        <w:rPr>
          <w:rFonts w:hint="eastAsia" w:ascii="宋体" w:hAnsi="宋体" w:cs="宋体"/>
          <w:color w:val="auto"/>
          <w:sz w:val="21"/>
          <w:szCs w:val="21"/>
          <w:highlight w:val="none"/>
        </w:rPr>
        <w:t>采购项目的潜在供应商应在广西政府采购云平台获取线上获取采购文件，并于</w:t>
      </w:r>
      <w:r>
        <w:rPr>
          <w:rFonts w:hint="eastAsia" w:ascii="宋体" w:hAnsi="宋体" w:cs="宋体"/>
          <w:color w:val="auto"/>
          <w:sz w:val="21"/>
          <w:szCs w:val="21"/>
          <w:highlight w:val="none"/>
          <w:u w:val="single"/>
          <w:lang w:eastAsia="zh-CN"/>
        </w:rPr>
        <w:t>2025年06月17日</w:t>
      </w:r>
      <w:r>
        <w:rPr>
          <w:rFonts w:hint="eastAsia" w:ascii="宋体" w:hAnsi="宋体" w:cs="宋体"/>
          <w:bCs/>
          <w:color w:val="auto"/>
          <w:sz w:val="21"/>
          <w:szCs w:val="21"/>
          <w:highlight w:val="none"/>
          <w:u w:val="single"/>
        </w:rPr>
        <w:t>09：30（</w:t>
      </w:r>
      <w:r>
        <w:rPr>
          <w:rFonts w:hint="eastAsia" w:ascii="宋体" w:hAnsi="宋体" w:cs="宋体"/>
          <w:bCs/>
          <w:color w:val="auto"/>
          <w:sz w:val="21"/>
          <w:szCs w:val="21"/>
          <w:highlight w:val="none"/>
        </w:rPr>
        <w:t>北京时间）前提交响应文件</w:t>
      </w:r>
      <w:r>
        <w:rPr>
          <w:rFonts w:hint="eastAsia" w:ascii="宋体" w:hAnsi="宋体" w:cs="宋体"/>
          <w:color w:val="auto"/>
          <w:sz w:val="21"/>
          <w:szCs w:val="21"/>
          <w:highlight w:val="none"/>
        </w:rPr>
        <w:t>。</w:t>
      </w:r>
      <w:bookmarkStart w:id="1" w:name="_Toc28359079"/>
      <w:bookmarkStart w:id="2" w:name="_Toc35393790"/>
      <w:bookmarkStart w:id="3" w:name="_Toc35393621"/>
      <w:bookmarkStart w:id="4" w:name="_Toc28359002"/>
      <w:bookmarkStart w:id="5" w:name="_Hlk24379207"/>
    </w:p>
    <w:p>
      <w:pPr>
        <w:pStyle w:val="188"/>
        <w:widowControl w:val="0"/>
        <w:spacing w:after="120" w:line="440" w:lineRule="exact"/>
        <w:ind w:firstLine="422"/>
        <w:rPr>
          <w:rFonts w:ascii="宋体" w:hAnsi="宋体" w:cs="宋体"/>
          <w:color w:val="auto"/>
          <w:sz w:val="21"/>
          <w:szCs w:val="21"/>
          <w:highlight w:val="none"/>
        </w:rPr>
      </w:pPr>
      <w:r>
        <w:rPr>
          <w:rFonts w:hint="eastAsia" w:ascii="宋体" w:hAnsi="宋体" w:cs="宋体"/>
          <w:b/>
          <w:color w:val="auto"/>
          <w:sz w:val="21"/>
          <w:szCs w:val="21"/>
          <w:highlight w:val="none"/>
        </w:rPr>
        <w:t>一、项目基本情况</w:t>
      </w:r>
      <w:bookmarkEnd w:id="1"/>
      <w:bookmarkEnd w:id="2"/>
      <w:bookmarkEnd w:id="3"/>
      <w:bookmarkEnd w:id="4"/>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GXZC2025-C3-001456-GXDY</w:t>
      </w:r>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采购方式：竞争性磋商</w:t>
      </w:r>
    </w:p>
    <w:bookmarkEnd w:id="5"/>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预算总金额（元）：</w:t>
      </w:r>
      <w:r>
        <w:rPr>
          <w:rFonts w:hint="eastAsia" w:ascii="宋体" w:hAnsi="宋体" w:cs="宋体"/>
          <w:color w:val="auto"/>
          <w:szCs w:val="21"/>
          <w:highlight w:val="none"/>
          <w:lang w:eastAsia="zh-CN"/>
        </w:rPr>
        <w:t>401000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采购需求：</w:t>
      </w:r>
    </w:p>
    <w:p>
      <w:pPr>
        <w:spacing w:line="440" w:lineRule="exact"/>
        <w:ind w:firstLine="420" w:firstLineChars="200"/>
        <w:rPr>
          <w:rFonts w:ascii="宋体" w:hAnsi="宋体" w:cs="宋体"/>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原标项一</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标项名称：广西农药数字监管平台运维服务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预算金额（元）：83900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简要规格描述或项目基本概况介绍、用途：广西农药数字监管平台运维服务项目一项，具体详见项目采购需求。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最高限价（如有）：83900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合同履约期限：自合同签订之日起1年</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ascii="宋体" w:hAnsi="宋体" w:cs="宋体"/>
          <w:b/>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标项名称：广西农业农村厅协同办公系统平台运维服务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预算金额（元）：99300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简要规格描述或项目基本概况介绍、用途：广西农业农村厅协同办公系统平台运维服务一项，具体详见项目采购需求。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最高限价（如有）：99300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合同履约期限：自合同签订之日起一年</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hint="eastAsia" w:ascii="宋体" w:hAnsi="宋体" w:cs="宋体"/>
          <w:b/>
          <w:bCs/>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原标项四</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w:t>
      </w:r>
      <w:bookmarkStart w:id="6" w:name="OLE_LINK3"/>
      <w:r>
        <w:rPr>
          <w:rFonts w:hint="eastAsia" w:ascii="宋体" w:hAnsi="宋体" w:cs="宋体"/>
          <w:color w:val="auto"/>
          <w:szCs w:val="21"/>
          <w:highlight w:val="none"/>
        </w:rPr>
        <w:t>广西农情信息管理系统运维服务</w:t>
      </w:r>
      <w:bookmarkEnd w:id="6"/>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预算金额（元）：118900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简要规格描述或项目基本概况介绍、用途：广西农情信息管理系统运维服务项目一项，具体详见项目采购需求。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最高限价（如有）：118900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合同履约期限：2025年7月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日</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ascii="宋体" w:hAnsi="宋体" w:cs="宋体"/>
          <w:b/>
          <w:bCs/>
          <w:color w:val="auto"/>
          <w:szCs w:val="21"/>
          <w:highlight w:val="none"/>
        </w:rPr>
      </w:pPr>
    </w:p>
    <w:p>
      <w:pPr>
        <w:spacing w:line="440" w:lineRule="exact"/>
        <w:ind w:firstLine="422" w:firstLineChars="200"/>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eastAsia="zh-CN"/>
        </w:rPr>
        <w:t>原标项五</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标项名称：广西农业自然灾害预警监控系统运维服务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数量：1</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预算金额（元）：98900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简要规格描述或项目基本概况介绍、用途：广西农业自然灾害预警监控系统运维服务项目一项，具体详见项目采购需求。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最高限价（如有）：98900</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合同履约期限：2025年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本标项（否）接受联合体投标</w:t>
      </w:r>
    </w:p>
    <w:p>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备注：本标项允许兼投兼中。供应商可以同时参与多个标项的竞标，并且可以同时中标多个标项</w:t>
      </w:r>
    </w:p>
    <w:p>
      <w:pPr>
        <w:spacing w:line="440" w:lineRule="exact"/>
        <w:ind w:firstLine="422" w:firstLineChars="200"/>
        <w:rPr>
          <w:rFonts w:hint="eastAsia" w:ascii="宋体" w:hAnsi="宋体" w:cs="宋体"/>
          <w:b/>
          <w:color w:val="auto"/>
          <w:szCs w:val="21"/>
          <w:highlight w:val="none"/>
        </w:rPr>
      </w:pPr>
    </w:p>
    <w:p>
      <w:pPr>
        <w:spacing w:line="440" w:lineRule="exact"/>
        <w:ind w:firstLine="422" w:firstLineChars="200"/>
        <w:rPr>
          <w:rFonts w:ascii="宋体" w:hAnsi="宋体" w:cs="宋体"/>
          <w:color w:val="auto"/>
          <w:szCs w:val="21"/>
          <w:highlight w:val="none"/>
        </w:rPr>
      </w:pPr>
      <w:r>
        <w:rPr>
          <w:rFonts w:hint="eastAsia" w:ascii="宋体" w:hAnsi="宋体" w:cs="宋体"/>
          <w:b/>
          <w:color w:val="auto"/>
          <w:szCs w:val="21"/>
          <w:highlight w:val="none"/>
        </w:rPr>
        <w:t>二、申请人的资格要求：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bookmarkStart w:id="7" w:name="OLE_LINK5"/>
      <w:r>
        <w:rPr>
          <w:rFonts w:hint="eastAsia" w:ascii="宋体" w:hAnsi="宋体" w:cs="宋体"/>
          <w:b/>
          <w:bCs/>
          <w:color w:val="auto"/>
          <w:szCs w:val="21"/>
          <w:highlight w:val="none"/>
          <w:lang w:eastAsia="zh-CN"/>
        </w:rPr>
        <w:t>原标项二、</w:t>
      </w:r>
      <w:bookmarkEnd w:id="7"/>
      <w:r>
        <w:rPr>
          <w:rFonts w:hint="eastAsia" w:ascii="宋体" w:hAnsi="宋体" w:cs="宋体"/>
          <w:b/>
          <w:bCs/>
          <w:color w:val="auto"/>
          <w:szCs w:val="21"/>
          <w:highlight w:val="none"/>
          <w:lang w:eastAsia="zh-CN"/>
        </w:rPr>
        <w:t>原标项五</w:t>
      </w:r>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原标项四</w:t>
      </w:r>
      <w:r>
        <w:rPr>
          <w:rFonts w:hint="eastAsia" w:ascii="宋体" w:hAnsi="宋体" w:cs="宋体"/>
          <w:color w:val="auto"/>
          <w:szCs w:val="21"/>
          <w:highlight w:val="none"/>
        </w:rPr>
        <w:t>无要求；</w:t>
      </w:r>
    </w:p>
    <w:p>
      <w:pPr>
        <w:spacing w:line="440" w:lineRule="exact"/>
        <w:ind w:firstLine="420" w:firstLineChars="200"/>
        <w:rPr>
          <w:rFonts w:ascii="宋体" w:hAnsi="宋体" w:cs="宋体"/>
          <w:iCs/>
          <w:color w:val="auto"/>
          <w:szCs w:val="21"/>
          <w:highlight w:val="none"/>
          <w:u w:val="single"/>
        </w:rPr>
      </w:pPr>
      <w:r>
        <w:rPr>
          <w:rFonts w:hint="eastAsia" w:ascii="宋体" w:hAnsi="宋体" w:cs="宋体"/>
          <w:color w:val="auto"/>
          <w:szCs w:val="21"/>
          <w:highlight w:val="none"/>
        </w:rPr>
        <w:t>3.本项目的特定资格要求：</w:t>
      </w: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pPr>
        <w:spacing w:line="440" w:lineRule="exact"/>
        <w:ind w:firstLine="422" w:firstLineChars="200"/>
        <w:rPr>
          <w:rFonts w:ascii="宋体" w:hAnsi="宋体" w:cs="宋体"/>
          <w:iCs/>
          <w:color w:val="auto"/>
          <w:szCs w:val="21"/>
          <w:highlight w:val="none"/>
          <w:u w:val="single"/>
        </w:rPr>
      </w:pPr>
      <w:r>
        <w:rPr>
          <w:rFonts w:hint="eastAsia" w:ascii="宋体" w:hAnsi="宋体" w:cs="宋体"/>
          <w:b/>
          <w:color w:val="auto"/>
          <w:szCs w:val="21"/>
          <w:highlight w:val="none"/>
        </w:rPr>
        <w:t>三、获取采购文件</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bCs/>
          <w:color w:val="auto"/>
          <w:szCs w:val="21"/>
          <w:highlight w:val="none"/>
        </w:rPr>
        <w:t>2025年</w:t>
      </w:r>
      <w:r>
        <w:rPr>
          <w:rFonts w:hint="eastAsia" w:ascii="宋体" w:hAnsi="宋体" w:cs="宋体"/>
          <w:bCs/>
          <w:color w:val="auto"/>
          <w:szCs w:val="21"/>
          <w:highlight w:val="none"/>
          <w:lang w:val="en-US" w:eastAsia="zh-CN"/>
        </w:rPr>
        <w:t>06</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04</w:t>
      </w:r>
      <w:r>
        <w:rPr>
          <w:rFonts w:hint="eastAsia" w:ascii="宋体" w:hAnsi="宋体" w:cs="宋体"/>
          <w:bCs/>
          <w:color w:val="auto"/>
          <w:szCs w:val="21"/>
          <w:highlight w:val="none"/>
        </w:rPr>
        <w:t>日至2025年</w:t>
      </w:r>
      <w:r>
        <w:rPr>
          <w:rFonts w:hint="eastAsia" w:ascii="宋体" w:hAnsi="宋体" w:cs="宋体"/>
          <w:bCs/>
          <w:color w:val="auto"/>
          <w:szCs w:val="21"/>
          <w:highlight w:val="none"/>
          <w:lang w:val="en-US" w:eastAsia="zh-CN"/>
        </w:rPr>
        <w:t>06</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11</w:t>
      </w:r>
      <w:r>
        <w:rPr>
          <w:rFonts w:hint="eastAsia" w:ascii="宋体" w:hAnsi="宋体" w:cs="宋体"/>
          <w:bCs/>
          <w:color w:val="auto"/>
          <w:szCs w:val="21"/>
          <w:highlight w:val="none"/>
        </w:rPr>
        <w:t>日，每天上午00:00至12:00，下午12:00至23:59（北京时间，法定节假日除外）</w:t>
      </w:r>
      <w:r>
        <w:rPr>
          <w:rFonts w:hint="eastAsia" w:ascii="宋体" w:hAnsi="宋体" w:cs="宋体"/>
          <w:color w:val="auto"/>
          <w:szCs w:val="21"/>
          <w:highlight w:val="none"/>
        </w:rPr>
        <w:t>。</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地点（网址）：广西政府采购云平台线上获取。</w:t>
      </w:r>
    </w:p>
    <w:p>
      <w:pPr>
        <w:wordWrap w:val="0"/>
        <w:spacing w:line="440" w:lineRule="exact"/>
        <w:ind w:firstLine="539"/>
        <w:rPr>
          <w:rFonts w:ascii="宋体" w:hAnsi="宋体" w:cs="宋体"/>
          <w:color w:val="auto"/>
          <w:szCs w:val="21"/>
          <w:highlight w:val="none"/>
        </w:rPr>
      </w:pPr>
      <w:r>
        <w:rPr>
          <w:rFonts w:hint="eastAsia" w:ascii="宋体" w:hAnsi="宋体" w:cs="宋体"/>
          <w:color w:val="auto"/>
          <w:szCs w:val="21"/>
          <w:highlight w:val="none"/>
        </w:rPr>
        <w:t xml:space="preserve">方式：网上下载。本项目不发放纸质文件，供应商登录广西政府采购云平台https://www.gcy.zfcg.gxzf.gov.cn/在线申请获取采购文件（进入“项目采购”应用，在获取采购文件菜单中选择项目，申请获取采购文件） </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售价（元）：0</w:t>
      </w:r>
    </w:p>
    <w:p>
      <w:pPr>
        <w:spacing w:line="440" w:lineRule="exact"/>
        <w:ind w:firstLine="540"/>
        <w:rPr>
          <w:rFonts w:ascii="宋体" w:hAnsi="宋体" w:cs="宋体"/>
          <w:color w:val="auto"/>
          <w:szCs w:val="21"/>
          <w:highlight w:val="none"/>
        </w:rPr>
      </w:pPr>
      <w:r>
        <w:rPr>
          <w:rFonts w:hint="eastAsia" w:ascii="宋体" w:hAnsi="宋体" w:cs="宋体"/>
          <w:b/>
          <w:color w:val="auto"/>
          <w:szCs w:val="21"/>
          <w:highlight w:val="none"/>
        </w:rPr>
        <w:t>四、响应文件提交</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截止时间：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 xml:space="preserve"> 09:30（北京时间）</w:t>
      </w:r>
    </w:p>
    <w:p>
      <w:pPr>
        <w:spacing w:line="440" w:lineRule="exact"/>
        <w:ind w:firstLine="540"/>
        <w:rPr>
          <w:rFonts w:ascii="宋体" w:hAnsi="宋体" w:cs="宋体"/>
          <w:color w:val="auto"/>
          <w:szCs w:val="21"/>
          <w:highlight w:val="none"/>
        </w:rPr>
      </w:pPr>
      <w:r>
        <w:rPr>
          <w:rFonts w:hint="eastAsia" w:ascii="宋体" w:hAnsi="宋体" w:cs="宋体"/>
          <w:color w:val="auto"/>
          <w:szCs w:val="21"/>
          <w:highlight w:val="none"/>
        </w:rPr>
        <w:t>地点（网址）：请登录广西政府采购云平台投标客户端投标。</w:t>
      </w:r>
    </w:p>
    <w:p>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五、响应文件开启</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开启时间：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 xml:space="preserve"> 09:30（北京时间）</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pPr>
        <w:spacing w:line="440" w:lineRule="exact"/>
        <w:ind w:firstLine="422" w:firstLineChars="200"/>
        <w:rPr>
          <w:rFonts w:ascii="宋体" w:hAnsi="宋体" w:cs="宋体"/>
          <w:bCs/>
          <w:color w:val="auto"/>
          <w:szCs w:val="21"/>
          <w:highlight w:val="none"/>
          <w:u w:val="single"/>
        </w:rPr>
      </w:pPr>
      <w:r>
        <w:rPr>
          <w:rFonts w:hint="eastAsia" w:ascii="宋体" w:hAnsi="宋体" w:cs="宋体"/>
          <w:b/>
          <w:color w:val="auto"/>
          <w:szCs w:val="21"/>
          <w:highlight w:val="none"/>
        </w:rPr>
        <w:t>六、公告期限</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七、其他补充事宜</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1.本项目需要落实的政府采购政策：</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（1）政府采购促进中小企业发展。</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（2）政府采购促进残疾人就业政策。</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（3）政府采购支持监狱企业发展。</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（4）政府采购支持采用本国产品的政策。</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（5）强制采购节能产品；优先采购节能产品、环境标志产品。</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2.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4.公告发布媒介：</w:t>
      </w:r>
    </w:p>
    <w:p>
      <w:pPr>
        <w:pStyle w:val="23"/>
        <w:spacing w:line="440" w:lineRule="exact"/>
        <w:ind w:firstLine="400" w:firstLineChars="200"/>
        <w:rPr>
          <w:rFonts w:hAnsi="宋体" w:cs="宋体"/>
          <w:color w:val="auto"/>
          <w:sz w:val="21"/>
          <w:highlight w:val="none"/>
        </w:rPr>
      </w:pPr>
      <w:r>
        <w:rPr>
          <w:color w:val="auto"/>
          <w:highlight w:val="none"/>
        </w:rPr>
        <w:fldChar w:fldCharType="begin"/>
      </w:r>
      <w:r>
        <w:rPr>
          <w:color w:val="auto"/>
          <w:highlight w:val="none"/>
        </w:rPr>
        <w:instrText xml:space="preserve"> HYPERLINK "http://www.ccgp.gov.cn（中国政府采购网）、http:/zfcg.gxzf.gov.cn（广西壮族自治区政府采购网）" </w:instrText>
      </w:r>
      <w:r>
        <w:rPr>
          <w:color w:val="auto"/>
          <w:highlight w:val="none"/>
        </w:rPr>
        <w:fldChar w:fldCharType="separate"/>
      </w:r>
      <w:r>
        <w:rPr>
          <w:rFonts w:hint="eastAsia" w:hAnsi="宋体" w:cs="宋体"/>
          <w:color w:val="auto"/>
          <w:sz w:val="21"/>
          <w:highlight w:val="none"/>
        </w:rPr>
        <w:t>http://www.ccgp.gov.cn（中国政府采购网）、http://zfcg.gxzf.gov.cn（广西壮族自治区政府采购网）</w:t>
      </w:r>
      <w:r>
        <w:rPr>
          <w:rFonts w:hint="eastAsia" w:hAnsi="宋体" w:cs="宋体"/>
          <w:color w:val="auto"/>
          <w:sz w:val="21"/>
          <w:highlight w:val="none"/>
        </w:rPr>
        <w:fldChar w:fldCharType="end"/>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5、广西政府采购云平台电子投标相关事宜：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 “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w:t>
      </w:r>
      <w:bookmarkStart w:id="79" w:name="_GoBack"/>
      <w:bookmarkEnd w:id="79"/>
      <w:r>
        <w:rPr>
          <w:rFonts w:hint="eastAsia" w:ascii="宋体" w:hAnsi="宋体" w:cs="宋体"/>
          <w:color w:val="auto"/>
          <w:szCs w:val="21"/>
          <w:highlight w:val="none"/>
          <w:lang w:eastAsia="zh-CN"/>
        </w:rPr>
        <w:t>登录</w:t>
      </w:r>
      <w:r>
        <w:rPr>
          <w:rFonts w:hint="eastAsia" w:ascii="宋体" w:hAnsi="宋体" w:cs="宋体"/>
          <w:color w:val="auto"/>
          <w:szCs w:val="21"/>
          <w:highlight w:val="none"/>
        </w:rPr>
        <w:t>“广西政府采购云平台”，依次进入“服务中心-入驻与配置”中查看CA数字证书办理操作流程。如在操作过程中遇到问题或者需要技术支持，请致电广西政府采购云客服热线：95763）。</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（4）供应商需要在具备有摄像头及语音功能且互联网网络状况良好的电脑登录“广西政府采购云平台”远程开标大厅参与本次磋商，否则后果自负。</w:t>
      </w:r>
    </w:p>
    <w:p>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八、对本次招标提出询问，请按以下方式联系。</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1.采购人信息</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广西壮族自治区农业信息中心</w:t>
      </w:r>
      <w:r>
        <w:rPr>
          <w:rFonts w:hint="eastAsia" w:ascii="宋体" w:hAnsi="宋体" w:cs="宋体"/>
          <w:color w:val="auto"/>
          <w:szCs w:val="21"/>
          <w:highlight w:val="none"/>
          <w:u w:val="single"/>
        </w:rPr>
        <w:t>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w:t>
      </w:r>
      <w:r>
        <w:rPr>
          <w:rFonts w:hint="eastAsia" w:ascii="宋体" w:hAnsi="宋体" w:cs="宋体"/>
          <w:color w:val="auto"/>
          <w:szCs w:val="21"/>
          <w:highlight w:val="none"/>
          <w:u w:val="single"/>
          <w:lang w:eastAsia="zh-CN"/>
        </w:rPr>
        <w:t>南宁市七星路135号</w:t>
      </w:r>
      <w:r>
        <w:rPr>
          <w:rFonts w:hint="eastAsia" w:ascii="宋体" w:hAnsi="宋体" w:cs="宋体"/>
          <w:color w:val="auto"/>
          <w:szCs w:val="21"/>
          <w:highlight w:val="none"/>
          <w:u w:val="single"/>
        </w:rPr>
        <w:t xml:space="preserve">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苏钰婷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0771-218</w:t>
      </w:r>
      <w:r>
        <w:rPr>
          <w:rFonts w:hint="eastAsia" w:ascii="宋体" w:hAnsi="宋体" w:cs="宋体"/>
          <w:color w:val="auto"/>
          <w:szCs w:val="21"/>
          <w:highlight w:val="none"/>
          <w:u w:val="single"/>
          <w:lang w:val="en-US" w:eastAsia="zh-CN"/>
        </w:rPr>
        <w:t>2852</w:t>
      </w:r>
      <w:r>
        <w:rPr>
          <w:rFonts w:hint="eastAsia" w:ascii="宋体" w:hAnsi="宋体" w:cs="宋体"/>
          <w:color w:val="auto"/>
          <w:szCs w:val="21"/>
          <w:highlight w:val="none"/>
          <w:u w:val="single"/>
        </w:rPr>
        <w:t xml:space="preserve">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2.采购代理机构信息</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广西德元工程项目管理有限责任公司　</w:t>
      </w:r>
    </w:p>
    <w:p>
      <w:pPr>
        <w:widowControl/>
        <w:spacing w:line="440" w:lineRule="exact"/>
        <w:ind w:firstLine="465"/>
        <w:jc w:val="left"/>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南宁市良庆区凯旋路15号绿地中心7号楼8楼　</w:t>
      </w:r>
    </w:p>
    <w:p>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项目联系人：</w:t>
      </w:r>
      <w:r>
        <w:rPr>
          <w:rFonts w:hint="eastAsia" w:ascii="宋体" w:hAnsi="宋体" w:cs="宋体"/>
          <w:color w:val="auto"/>
          <w:szCs w:val="21"/>
          <w:highlight w:val="none"/>
          <w:u w:val="single"/>
        </w:rPr>
        <w:t xml:space="preserve">　覃喜娟、黄清霞     </w:t>
      </w:r>
    </w:p>
    <w:p>
      <w:pPr>
        <w:widowControl/>
        <w:spacing w:line="440" w:lineRule="exact"/>
        <w:ind w:firstLine="465"/>
        <w:jc w:val="left"/>
        <w:rPr>
          <w:rFonts w:ascii="宋体" w:hAnsi="宋体" w:cs="宋体"/>
          <w:color w:val="auto"/>
          <w:szCs w:val="21"/>
          <w:highlight w:val="none"/>
          <w:u w:val="single"/>
        </w:rPr>
      </w:pPr>
      <w:r>
        <w:rPr>
          <w:rFonts w:hint="eastAsia" w:ascii="宋体" w:hAnsi="宋体" w:cs="宋体"/>
          <w:color w:val="auto"/>
          <w:szCs w:val="21"/>
          <w:highlight w:val="none"/>
        </w:rPr>
        <w:t>项目联系方式：</w:t>
      </w:r>
      <w:r>
        <w:rPr>
          <w:rFonts w:hint="eastAsia" w:ascii="宋体" w:hAnsi="宋体" w:cs="宋体"/>
          <w:color w:val="auto"/>
          <w:szCs w:val="21"/>
          <w:highlight w:val="none"/>
          <w:u w:val="single"/>
        </w:rPr>
        <w:t xml:space="preserve">　0771-5084767       </w:t>
      </w:r>
      <w:bookmarkStart w:id="8" w:name="_Toc88747292"/>
    </w:p>
    <w:p>
      <w:pPr>
        <w:pStyle w:val="4"/>
        <w:spacing w:line="440" w:lineRule="exact"/>
        <w:jc w:val="center"/>
        <w:rPr>
          <w:rFonts w:ascii="宋体" w:hAnsi="宋体" w:cs="宋体"/>
          <w:color w:val="auto"/>
          <w:sz w:val="32"/>
          <w:szCs w:val="32"/>
          <w:highlight w:val="none"/>
        </w:rPr>
        <w:sectPr>
          <w:footerReference r:id="rId4" w:type="default"/>
          <w:pgSz w:w="11906" w:h="16838"/>
          <w:pgMar w:top="1134" w:right="1247" w:bottom="1134" w:left="1247" w:header="851" w:footer="992" w:gutter="0"/>
          <w:pgNumType w:start="1"/>
          <w:cols w:space="720" w:num="1"/>
          <w:docGrid w:linePitch="312" w:charSpace="0"/>
        </w:sectPr>
      </w:pPr>
    </w:p>
    <w:p>
      <w:pPr>
        <w:pStyle w:val="4"/>
        <w:spacing w:line="44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第二章 供应商须知</w:t>
      </w:r>
      <w:bookmarkEnd w:id="8"/>
    </w:p>
    <w:tbl>
      <w:tblPr>
        <w:tblStyle w:val="41"/>
        <w:tblW w:w="905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053" w:type="dxa"/>
            <w:gridSpan w:val="2"/>
          </w:tcPr>
          <w:p>
            <w:pPr>
              <w:spacing w:before="120" w:beforeLines="50" w:line="440" w:lineRule="exact"/>
              <w:ind w:right="140" w:firstLine="200"/>
              <w:jc w:val="center"/>
              <w:rPr>
                <w:rFonts w:ascii="宋体" w:hAnsi="宋体" w:cs="宋体"/>
                <w:color w:val="auto"/>
                <w:sz w:val="28"/>
                <w:szCs w:val="28"/>
                <w:highlight w:val="none"/>
              </w:rPr>
            </w:pPr>
            <w:r>
              <w:rPr>
                <w:rFonts w:hint="eastAsia" w:ascii="宋体" w:hAnsi="宋体" w:cs="宋体"/>
                <w:color w:val="auto"/>
                <w:sz w:val="28"/>
                <w:szCs w:val="28"/>
                <w:highlight w:val="none"/>
              </w:rPr>
              <w:t>供应商须知前附表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8236" w:type="dxa"/>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8236" w:type="dxa"/>
            <w:vAlign w:val="center"/>
          </w:tcPr>
          <w:p>
            <w:pPr>
              <w:spacing w:line="44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农情系统、自然灾害预警监控系统、农药数字监管平台、粮食功能区管理平台、协同办公系统运维、网络等保测评和商密应用安全评估服务、农产品价格监测预警系统运维及数据采集服务（标项一、标项二、标项四、标项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供应商资格要求：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b/>
                <w:bCs/>
                <w:color w:val="auto"/>
                <w:szCs w:val="21"/>
                <w:highlight w:val="none"/>
                <w:lang w:eastAsia="zh-CN"/>
              </w:rPr>
              <w:t>原标项二、原标项五</w:t>
            </w:r>
            <w:r>
              <w:rPr>
                <w:rFonts w:hint="eastAsia" w:ascii="宋体" w:hAnsi="宋体" w:cs="宋体"/>
                <w:color w:val="auto"/>
                <w:szCs w:val="21"/>
                <w:highlight w:val="none"/>
              </w:rPr>
              <w:t>为专门面向小微企业采购的项目（供应商应为小微企业、监狱企业、残疾人福利性单位），</w:t>
            </w:r>
            <w:r>
              <w:rPr>
                <w:rFonts w:hint="eastAsia" w:ascii="宋体" w:hAnsi="宋体" w:cs="宋体"/>
                <w:b/>
                <w:bCs/>
                <w:color w:val="auto"/>
                <w:szCs w:val="21"/>
                <w:highlight w:val="none"/>
                <w:lang w:eastAsia="zh-CN"/>
              </w:rPr>
              <w:t>原标项一</w:t>
            </w:r>
            <w:r>
              <w:rPr>
                <w:rFonts w:hint="eastAsia" w:ascii="宋体" w:hAnsi="宋体" w:cs="宋体"/>
                <w:b/>
                <w:bCs/>
                <w:color w:val="auto"/>
                <w:szCs w:val="21"/>
                <w:highlight w:val="none"/>
              </w:rPr>
              <w:t>、</w:t>
            </w:r>
            <w:r>
              <w:rPr>
                <w:rFonts w:hint="eastAsia" w:ascii="宋体" w:hAnsi="宋体" w:cs="宋体"/>
                <w:b/>
                <w:bCs/>
                <w:color w:val="auto"/>
                <w:szCs w:val="21"/>
                <w:highlight w:val="none"/>
                <w:lang w:eastAsia="zh-CN"/>
              </w:rPr>
              <w:t>原标项四</w:t>
            </w:r>
            <w:r>
              <w:rPr>
                <w:rFonts w:hint="eastAsia" w:ascii="宋体" w:hAnsi="宋体" w:cs="宋体"/>
                <w:color w:val="auto"/>
                <w:szCs w:val="21"/>
                <w:highlight w:val="none"/>
              </w:rPr>
              <w:t>无要求；</w:t>
            </w:r>
          </w:p>
          <w:p>
            <w:pPr>
              <w:spacing w:line="440" w:lineRule="exact"/>
              <w:ind w:firstLine="420" w:firstLineChars="200"/>
              <w:rPr>
                <w:rFonts w:hint="eastAsia" w:ascii="宋体" w:hAnsi="宋体" w:eastAsia="宋体" w:cs="宋体"/>
                <w:iCs/>
                <w:color w:val="auto"/>
                <w:szCs w:val="21"/>
                <w:highlight w:val="none"/>
                <w:u w:val="single"/>
                <w:lang w:eastAsia="zh-CN"/>
              </w:rPr>
            </w:pPr>
            <w:r>
              <w:rPr>
                <w:rFonts w:hint="eastAsia" w:ascii="宋体" w:hAnsi="宋体" w:cs="宋体"/>
                <w:color w:val="auto"/>
                <w:szCs w:val="21"/>
                <w:highlight w:val="none"/>
              </w:rPr>
              <w:t>3.本项目的特定资格要求：</w:t>
            </w:r>
            <w:r>
              <w:rPr>
                <w:rFonts w:hint="eastAsia" w:ascii="宋体" w:hAnsi="宋体" w:cs="宋体"/>
                <w:b w:val="0"/>
                <w:bCs w:val="0"/>
                <w:color w:val="auto"/>
                <w:szCs w:val="21"/>
                <w:highlight w:val="none"/>
                <w:lang w:val="en-US" w:eastAsia="zh-CN"/>
              </w:rPr>
              <w:t>无；</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4.参加政府采购活动前三年内，在经营活动中没有重大违法记录和不良信用记录，被列入失信被执行人、重大税收违法案件当事人名单、政府采购严重违法失信行为记录名单及其他不符合《中华人民共和国政府采购法》第二十二条规定条件的供应商，将被拒绝其参与本次政府采购活动；</w:t>
            </w:r>
          </w:p>
          <w:p>
            <w:pPr>
              <w:pStyle w:val="23"/>
              <w:spacing w:line="440" w:lineRule="exact"/>
              <w:ind w:firstLine="420" w:firstLineChars="200"/>
              <w:rPr>
                <w:rFonts w:hAnsi="宋体" w:cs="宋体"/>
                <w:color w:val="auto"/>
                <w:sz w:val="24"/>
                <w:szCs w:val="24"/>
                <w:highlight w:val="none"/>
              </w:rPr>
            </w:pPr>
            <w:r>
              <w:rPr>
                <w:rFonts w:hint="eastAsia" w:hAnsi="宋体" w:cs="宋体"/>
                <w:color w:val="auto"/>
                <w:sz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8236" w:type="dxa"/>
            <w:vAlign w:val="center"/>
          </w:tcPr>
          <w:p>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□本项目不收取磋商保证金。 </w:t>
            </w:r>
          </w:p>
          <w:p>
            <w:pPr>
              <w:pStyle w:val="23"/>
              <w:spacing w:line="440" w:lineRule="exact"/>
              <w:rPr>
                <w:rFonts w:hAnsi="宋体" w:cs="宋体"/>
                <w:color w:val="auto"/>
                <w:sz w:val="21"/>
                <w:highlight w:val="none"/>
              </w:rPr>
            </w:pPr>
            <w:r>
              <w:rPr>
                <w:rFonts w:hint="eastAsia" w:hAnsi="宋体" w:cs="宋体"/>
                <w:color w:val="auto"/>
                <w:sz w:val="21"/>
                <w:highlight w:val="none"/>
              </w:rPr>
              <w:t xml:space="preserve">☑本项目收取磋商保证金，具体规定如下： </w:t>
            </w:r>
          </w:p>
          <w:p>
            <w:pPr>
              <w:pStyle w:val="23"/>
              <w:spacing w:line="440" w:lineRule="exact"/>
              <w:rPr>
                <w:rFonts w:hAnsi="宋体" w:cs="宋体"/>
                <w:color w:val="auto"/>
                <w:highlight w:val="none"/>
              </w:rPr>
            </w:pPr>
            <w:r>
              <w:rPr>
                <w:rFonts w:hint="eastAsia" w:hAnsi="宋体" w:cs="宋体"/>
                <w:color w:val="auto"/>
                <w:sz w:val="21"/>
                <w:highlight w:val="none"/>
              </w:rPr>
              <w:t>磋商保证金：</w:t>
            </w:r>
            <w:r>
              <w:rPr>
                <w:rFonts w:hint="eastAsia" w:hAnsi="宋体" w:cs="宋体"/>
                <w:b/>
                <w:bCs/>
                <w:color w:val="auto"/>
                <w:sz w:val="21"/>
                <w:highlight w:val="none"/>
                <w:lang w:eastAsia="zh-CN"/>
              </w:rPr>
              <w:t>原标项一</w:t>
            </w:r>
            <w:r>
              <w:rPr>
                <w:rFonts w:hint="eastAsia" w:hAnsi="宋体" w:cs="宋体"/>
                <w:color w:val="auto"/>
                <w:sz w:val="21"/>
                <w:highlight w:val="none"/>
              </w:rPr>
              <w:t>人民币捌佰元整（￥800.00）</w:t>
            </w:r>
            <w:r>
              <w:rPr>
                <w:rStyle w:val="49"/>
                <w:rFonts w:hint="eastAsia" w:hAnsi="宋体" w:cs="宋体"/>
                <w:color w:val="auto"/>
                <w:highlight w:val="none"/>
              </w:rPr>
              <w:t>；</w:t>
            </w:r>
            <w:r>
              <w:rPr>
                <w:rFonts w:hint="eastAsia" w:hAnsi="宋体" w:cs="宋体"/>
                <w:b/>
                <w:bCs/>
                <w:color w:val="auto"/>
                <w:sz w:val="21"/>
                <w:highlight w:val="none"/>
                <w:lang w:eastAsia="zh-CN"/>
              </w:rPr>
              <w:t>原标项二</w:t>
            </w:r>
            <w:r>
              <w:rPr>
                <w:rFonts w:hint="eastAsia" w:hAnsi="宋体" w:cs="宋体"/>
                <w:color w:val="auto"/>
                <w:sz w:val="21"/>
                <w:highlight w:val="none"/>
              </w:rPr>
              <w:t>人民币玖佰元整（￥900.00）；</w:t>
            </w:r>
            <w:r>
              <w:rPr>
                <w:rFonts w:hint="eastAsia" w:hAnsi="宋体" w:cs="宋体"/>
                <w:b/>
                <w:bCs/>
                <w:color w:val="auto"/>
                <w:sz w:val="21"/>
                <w:highlight w:val="none"/>
                <w:lang w:eastAsia="zh-CN"/>
              </w:rPr>
              <w:t>原标项四</w:t>
            </w:r>
            <w:r>
              <w:rPr>
                <w:rFonts w:hint="eastAsia" w:hAnsi="宋体" w:cs="宋体"/>
                <w:color w:val="auto"/>
                <w:sz w:val="21"/>
                <w:highlight w:val="none"/>
              </w:rPr>
              <w:t>人民币壹仟元整（￥1000.00）；</w:t>
            </w:r>
            <w:r>
              <w:rPr>
                <w:rFonts w:hint="eastAsia" w:hAnsi="宋体" w:cs="宋体"/>
                <w:b/>
                <w:bCs/>
                <w:color w:val="auto"/>
                <w:sz w:val="21"/>
                <w:highlight w:val="none"/>
                <w:lang w:eastAsia="zh-CN"/>
              </w:rPr>
              <w:t>原标项五</w:t>
            </w:r>
            <w:r>
              <w:rPr>
                <w:rFonts w:hint="eastAsia" w:hAnsi="宋体" w:cs="宋体"/>
                <w:color w:val="auto"/>
                <w:sz w:val="21"/>
                <w:highlight w:val="none"/>
              </w:rPr>
              <w:t>人民币玖佰元整（￥900.00）。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现场考察或答疑会：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□组织。集中考察时间：，集中考察地点：，联系人：。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不组织。供应商自行考察现场。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是否需要演示：</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不需演示。</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需要演示</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演示时间：，地点：。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8236" w:type="dxa"/>
            <w:vAlign w:val="center"/>
          </w:tcPr>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联合体竞标：</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接受联合体竞标。</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w:t>
            </w:r>
            <w:r>
              <w:rPr>
                <w:rFonts w:hint="eastAsia" w:ascii="宋体" w:hAnsi="宋体" w:cs="宋体"/>
                <w:color w:val="auto"/>
                <w:szCs w:val="21"/>
                <w:highlight w:val="none"/>
              </w:rPr>
              <w:t>不接受联合体竞标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8236" w:type="dxa"/>
            <w:vAlign w:val="center"/>
          </w:tcPr>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是否允许分包：</w:t>
            </w:r>
          </w:p>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☑不允许分包</w:t>
            </w:r>
          </w:p>
          <w:p>
            <w:pPr>
              <w:snapToGrid w:val="0"/>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□允许分包</w:t>
            </w:r>
          </w:p>
          <w:p>
            <w:pPr>
              <w:snapToGrid w:val="0"/>
              <w:spacing w:line="440" w:lineRule="exact"/>
              <w:rPr>
                <w:rFonts w:ascii="宋体" w:hAnsi="宋体" w:cs="宋体"/>
                <w:color w:val="auto"/>
                <w:szCs w:val="21"/>
                <w:highlight w:val="none"/>
              </w:rPr>
            </w:pPr>
            <w:r>
              <w:rPr>
                <w:rFonts w:hint="eastAsia" w:ascii="宋体" w:hAnsi="宋体" w:cs="宋体"/>
                <w:color w:val="auto"/>
                <w:kern w:val="0"/>
                <w:szCs w:val="21"/>
                <w:highlight w:val="none"/>
              </w:rPr>
              <w:t>分包内容：。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响应文件组成：资格文件、商务和技术文件、报价文件。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最高限价：详见竞争性磋商公告。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8236" w:type="dxa"/>
            <w:vAlign w:val="center"/>
          </w:tcPr>
          <w:p>
            <w:pPr>
              <w:spacing w:line="440" w:lineRule="exact"/>
              <w:rPr>
                <w:rFonts w:ascii="宋体" w:hAnsi="宋体" w:cs="宋体"/>
                <w:color w:val="auto"/>
                <w:highlight w:val="none"/>
              </w:rPr>
            </w:pPr>
            <w:r>
              <w:rPr>
                <w:rFonts w:hint="eastAsia" w:ascii="宋体" w:hAnsi="宋体" w:cs="宋体"/>
                <w:color w:val="auto"/>
                <w:highlight w:val="none"/>
              </w:rPr>
              <w:t>竞标</w:t>
            </w:r>
            <w:r>
              <w:rPr>
                <w:rFonts w:hint="eastAsia" w:ascii="宋体" w:hAnsi="宋体" w:cs="宋体"/>
                <w:color w:val="auto"/>
                <w:szCs w:val="21"/>
                <w:highlight w:val="none"/>
              </w:rPr>
              <w:t>报价及费用：1、本项目竞标应以人民币报价；2、不论竞标结果如何，供应商均应自行承担所有与竞标有关的全部费用；3、代理服务费按</w:t>
            </w:r>
            <w:r>
              <w:rPr>
                <w:rFonts w:hint="eastAsia" w:ascii="宋体" w:hAnsi="宋体" w:cs="宋体"/>
                <w:color w:val="auto"/>
                <w:highlight w:val="none"/>
              </w:rPr>
              <w:t>以中标金额为计费额，按本须知正文第37.2条规定的标准（□货物招标/☑服务招标/□工程招标）采用差额定率累进法计算出收费基准价格，采购代理收费以（☑收费基准价格/□收费基准价格下浮</w:t>
            </w:r>
            <w:r>
              <w:rPr>
                <w:rFonts w:hint="eastAsia" w:ascii="宋体" w:hAnsi="宋体" w:cs="宋体"/>
                <w:color w:val="auto"/>
                <w:highlight w:val="none"/>
                <w:u w:val="single"/>
              </w:rPr>
              <w:t xml:space="preserve">  </w:t>
            </w:r>
            <w:r>
              <w:rPr>
                <w:rFonts w:hint="eastAsia" w:ascii="宋体" w:hAnsi="宋体" w:cs="宋体"/>
                <w:color w:val="auto"/>
                <w:highlight w:val="none"/>
              </w:rPr>
              <w:t>/□收费基准价格上浮</w:t>
            </w:r>
            <w:r>
              <w:rPr>
                <w:rFonts w:hint="eastAsia" w:ascii="宋体" w:hAnsi="宋体" w:cs="宋体"/>
                <w:color w:val="auto"/>
                <w:highlight w:val="none"/>
                <w:u w:val="single"/>
              </w:rPr>
              <w:t>%</w:t>
            </w:r>
            <w:r>
              <w:rPr>
                <w:rFonts w:hint="eastAsia" w:ascii="宋体" w:hAnsi="宋体" w:cs="宋体"/>
                <w:color w:val="auto"/>
                <w:highlight w:val="none"/>
              </w:rPr>
              <w:t>）收取。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提交响应文件截止时间：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09:30（北京时间）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投标地点（网址）：请登录广西政府采购云平台投标客户端投标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开标时间：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开标地点：本次招标在广西政府采购云平台开标大厅电子开标大厅开标。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CA证书在线解密：供应商投标时，需携带制作响应文件时用来加密的有效数字证书（CA认证）登录广西政府采购云平台电子开标大厅现场按规定时间对加密的响应文件进行解密，否则后果自负。</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供应商应当在首次响应文件提交截止时间前完成电子响应文件的上传、递交，响应文件提交截止时间前可以补充、修改或者撤回响应文件。补充或者修改响应文件的，应当先行撤回原文件，补充、修改后重新上传、递交。投标截止时间前未完成上传、递交的，视为撤回响应文件。响应文件提交截止时间以后上传递交的响应文件的，广西政府采购云平台将予以拒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12</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首次响应文件开启时间</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09:30（北京时间）开标后</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磋商时间及地点：</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lang w:eastAsia="zh-CN"/>
              </w:rPr>
              <w:t>2025年06月17日</w:t>
            </w:r>
            <w:r>
              <w:rPr>
                <w:rFonts w:hint="eastAsia" w:ascii="宋体" w:hAnsi="宋体" w:cs="宋体"/>
                <w:color w:val="auto"/>
                <w:szCs w:val="21"/>
                <w:highlight w:val="none"/>
              </w:rPr>
              <w:t>09:30截标后为与供应商磋商时间，具体时间由采购代理机构另行通知。</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地点：广西政府采购云平台开标大厅。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8236" w:type="dxa"/>
            <w:vAlign w:val="center"/>
          </w:tcPr>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磋商的顺序：</w:t>
            </w: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□按照提交首次响应文件的顺序</w:t>
            </w:r>
          </w:p>
          <w:p>
            <w:pPr>
              <w:autoSpaceDE w:val="0"/>
              <w:autoSpaceDN w:val="0"/>
              <w:adjustRightInd w:val="0"/>
              <w:spacing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☑随机排序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8236" w:type="dxa"/>
            <w:vAlign w:val="center"/>
          </w:tcPr>
          <w:p>
            <w:pPr>
              <w:widowControl/>
              <w:spacing w:line="440" w:lineRule="exact"/>
              <w:jc w:val="left"/>
              <w:rPr>
                <w:rFonts w:ascii="宋体" w:hAnsi="宋体" w:cs="宋体"/>
                <w:color w:val="auto"/>
                <w:kern w:val="0"/>
                <w:sz w:val="24"/>
                <w:highlight w:val="none"/>
              </w:rPr>
            </w:pPr>
            <w:r>
              <w:rPr>
                <w:rFonts w:hint="eastAsia" w:ascii="宋体" w:hAnsi="宋体" w:cs="宋体"/>
                <w:color w:val="auto"/>
                <w:szCs w:val="21"/>
                <w:highlight w:val="none"/>
              </w:rPr>
              <w:t>评标办法及评分标准：综合评分法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8236" w:type="dxa"/>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发布媒体：http://www.ccgp.gov.cn（中国政府采购网）、http://zfcg.gxzf.gov.cn（广西壮族自治区政府采购网）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8236" w:type="dxa"/>
            <w:vAlign w:val="center"/>
          </w:tcPr>
          <w:p>
            <w:pPr>
              <w:snapToGrid w:val="0"/>
              <w:spacing w:before="120" w:beforeLines="50" w:line="440" w:lineRule="exact"/>
              <w:rPr>
                <w:rFonts w:ascii="宋体" w:hAnsi="宋体" w:cs="宋体"/>
                <w:color w:val="auto"/>
                <w:sz w:val="24"/>
                <w:highlight w:val="none"/>
              </w:rPr>
            </w:pPr>
            <w:r>
              <w:rPr>
                <w:rFonts w:hint="eastAsia" w:ascii="宋体" w:hAnsi="宋体" w:cs="宋体"/>
                <w:color w:val="auto"/>
                <w:szCs w:val="21"/>
                <w:highlight w:val="none"/>
              </w:rPr>
              <w:t>成交公告及成交通知书：成交</w:t>
            </w:r>
            <w:r>
              <w:rPr>
                <w:rFonts w:hint="eastAsia" w:ascii="宋体" w:hAnsi="宋体" w:cs="宋体"/>
                <w:color w:val="auto"/>
                <w:highlight w:val="none"/>
              </w:rPr>
              <w:t>供应商确定后，采购代理机构或采购人须在“信用中国”网站（www.creditchina.gov.cn）和中国政府采购网（http://www.ccgp.gov.cn/）查询中标供应商主体信用记录，如其未被列入失信被执行人、重大税收违法案件当事人名单、政府采购严重违法失信行为记录名单，则采购代理机构在中国政府采购网、广西政府采购网发布中标公告同时向中标供应商发出中标通知书；如其被列入失信被执行人、重大税收违法案件当事人名单、政府采购严重违法失信行为记录名单，则取消其中标资格，并确定排名第二的中标候选人为中标人。排名第二的中标候选人因前款规定的同样原因被取消中标资格的，采购人可以确定排名第三的中标候选人为中标人。以上信息查询记录及相关证据与采购文件一并保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8236" w:type="dxa"/>
            <w:vAlign w:val="center"/>
          </w:tcPr>
          <w:p>
            <w:pPr>
              <w:snapToGrid w:val="0"/>
              <w:spacing w:line="440" w:lineRule="exact"/>
              <w:rPr>
                <w:rFonts w:ascii="宋体" w:hAnsi="宋体" w:cs="宋体"/>
                <w:color w:val="auto"/>
                <w:highlight w:val="none"/>
              </w:rPr>
            </w:pPr>
            <w:r>
              <w:rPr>
                <w:rFonts w:hint="eastAsia" w:ascii="宋体" w:hAnsi="宋体" w:cs="宋体"/>
                <w:color w:val="auto"/>
                <w:szCs w:val="21"/>
                <w:highlight w:val="none"/>
              </w:rPr>
              <w:t>签订合同时间：成交通知书发出之日起二十五日内。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szCs w:val="21"/>
                <w:highlight w:val="none"/>
              </w:rPr>
              <w:t>履约保证金：</w:t>
            </w:r>
            <w:r>
              <w:rPr>
                <w:rFonts w:hint="eastAsia" w:ascii="宋体" w:hAnsi="宋体" w:cs="宋体"/>
                <w:b/>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highlight w:val="none"/>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供应商应在响应文件中注明投标内容中涉及商业秘密的部分，未注明的视为响应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8236" w:type="dxa"/>
            <w:vAlign w:val="center"/>
          </w:tcPr>
          <w:p>
            <w:pPr>
              <w:snapToGrid w:val="0"/>
              <w:spacing w:line="440" w:lineRule="exact"/>
              <w:rPr>
                <w:rFonts w:ascii="宋体" w:hAnsi="宋体" w:cs="宋体"/>
                <w:color w:val="auto"/>
                <w:highlight w:val="none"/>
              </w:rPr>
            </w:pPr>
            <w:r>
              <w:rPr>
                <w:rFonts w:hint="eastAsia" w:ascii="宋体" w:hAnsi="宋体" w:cs="宋体"/>
                <w:color w:val="auto"/>
                <w:szCs w:val="21"/>
                <w:highlight w:val="none"/>
              </w:rPr>
              <w:t>响应文件有效期：提交首次响应文件截止之日起60天内。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21</w:t>
            </w:r>
          </w:p>
        </w:tc>
        <w:tc>
          <w:tcPr>
            <w:tcW w:w="8236" w:type="dxa"/>
            <w:vAlign w:val="center"/>
          </w:tcPr>
          <w:p>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采购资金来源：</w:t>
            </w:r>
            <w:r>
              <w:rPr>
                <w:rFonts w:hint="eastAsia" w:ascii="宋体" w:hAnsi="宋体" w:cs="宋体"/>
                <w:b/>
                <w:color w:val="auto"/>
                <w:highlight w:val="none"/>
              </w:rPr>
              <w:t>√</w:t>
            </w:r>
            <w:r>
              <w:rPr>
                <w:rFonts w:hint="eastAsia" w:ascii="宋体" w:hAnsi="宋体" w:cs="宋体"/>
                <w:color w:val="auto"/>
                <w:highlight w:val="none"/>
              </w:rPr>
              <w:t>预算资金、预算外资金、其他资金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22</w:t>
            </w:r>
          </w:p>
        </w:tc>
        <w:tc>
          <w:tcPr>
            <w:tcW w:w="8236" w:type="dxa"/>
            <w:vAlign w:val="center"/>
          </w:tcPr>
          <w:p>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s="宋体"/>
                <w:color w:val="auto"/>
                <w:szCs w:val="21"/>
                <w:highlight w:val="none"/>
              </w:rPr>
              <w:t>付款方式：</w:t>
            </w:r>
            <w:r>
              <w:rPr>
                <w:rFonts w:hint="eastAsia" w:ascii="宋体" w:hAnsi="宋体" w:cs="宋体"/>
                <w:color w:val="auto"/>
                <w:highlight w:val="none"/>
              </w:rPr>
              <w:t>国库集中支付或采购专户支付、</w:t>
            </w:r>
            <w:r>
              <w:rPr>
                <w:rFonts w:hint="eastAsia" w:ascii="宋体" w:hAnsi="宋体" w:cs="宋体"/>
                <w:b/>
                <w:color w:val="auto"/>
                <w:highlight w:val="none"/>
              </w:rPr>
              <w:t>√</w:t>
            </w:r>
            <w:r>
              <w:rPr>
                <w:rFonts w:hint="eastAsia" w:ascii="宋体" w:hAnsi="宋体" w:cs="宋体"/>
                <w:color w:val="auto"/>
                <w:highlight w:val="none"/>
              </w:rPr>
              <w:t>采购人自行支付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23</w:t>
            </w:r>
          </w:p>
        </w:tc>
        <w:tc>
          <w:tcPr>
            <w:tcW w:w="8236" w:type="dxa"/>
            <w:vAlign w:val="center"/>
          </w:tcPr>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解释：本招标文件的解释权属于采购单位。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1、参与电子投标的准备工作：</w:t>
            </w:r>
          </w:p>
          <w:p>
            <w:pPr>
              <w:wordWrap w:val="0"/>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项目为全流程电子化采购项目，通过“广西政府采购云平台”（https://www.gcy.zfcg.gxzf.gov.cn/）实行在线电子竞标，供应商应先安装“广西政府采购云平台客户端”（请自行前往“广西政府采购网—办事服务—下载专区”进行下载），并按照本项目竞争性磋商文件和“广西政府采购云平台”的要求编制、加密后在提交响应文件截止时间前通过网络上传至“广西政府采购云平台”，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w:t>
            </w:r>
            <w:r>
              <w:rPr>
                <w:rFonts w:hint="eastAsia" w:ascii="宋体" w:hAnsi="宋体" w:cs="宋体"/>
                <w:color w:val="auto"/>
                <w:highlight w:val="none"/>
                <w:lang w:eastAsia="zh-CN"/>
              </w:rPr>
              <w:t>登录</w:t>
            </w:r>
            <w:r>
              <w:rPr>
                <w:rFonts w:hint="eastAsia" w:ascii="宋体" w:hAnsi="宋体" w:cs="宋体"/>
                <w:color w:val="auto"/>
                <w:highlight w:val="none"/>
              </w:rPr>
              <w:t>“广西政府采购云平台”，依次进入“服务中心-入驻与配置”中查看CA数字证书办理操作流程。如在操作过程中遇到问题或者需要技术支持，请致电广西政府采购云客服热线：95763）。</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（4）供应商需要在具备有摄像头及语音功能且互联网网络状况良好的电脑登录“广西政府采购云平台”远程开标大厅参与本次磋商，否则后果自负。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电子响应文件的制作、加密：</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1、供应商制作电子响应文件前，应</w:t>
            </w:r>
            <w:r>
              <w:rPr>
                <w:rFonts w:hint="eastAsia" w:ascii="宋体" w:hAnsi="宋体" w:cs="宋体"/>
                <w:color w:val="auto"/>
                <w:highlight w:val="none"/>
                <w:lang w:eastAsia="zh-CN"/>
              </w:rPr>
              <w:t>登录</w:t>
            </w:r>
            <w:r>
              <w:rPr>
                <w:rFonts w:hint="eastAsia" w:ascii="宋体" w:hAnsi="宋体" w:cs="宋体"/>
                <w:color w:val="auto"/>
                <w:highlight w:val="none"/>
              </w:rPr>
              <w:t>广西政府采购云平台进行“申请获取采购文件”操作，否则，有可能导致无法在线编制响应文件并参与竞标，其不利后果由供应商自行承担。</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供应商下载或获取招标文件后，登录“广西政府采购云平台电子投标客户端”，按照本招标文件规定的响应文件格式、顺序以及“广西政府采购云平台”的要求，通过“广西政府采购云平台电子投标客户端”编制电子响应文件。</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3、供应商应按“广西政府采购云平台电子投标客户端”载明的“标书关联”功能进行电子响应文件的关联定位，以便评标小组在评审时点击相应评审项可直接定位到该评审内容；如供应商的电子响应文件未能关联定位相应内容，或者关联定位的内容与该评审项不符，导致评标小组无法查询并做出对供应商不利的评审，相关后果由供应商自行承担。</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4、电子响应文件不得涂改，若有修改错漏处，须由法定代表人（负责人、自然人）或授权委托代理人通过广西政府采购云平台电子投标客户端”采用广西政府采购云平台个人CA证书签章，没有办理广西政府采购云平台个人CA证书签章的，在响应文件中响应位置手写签字后扫描或者拍照做成PDF的格式上传。因响应文件字迹潦草、表达不清、内容不完整、编排混乱导致响应文件被误读、漏读，或者在按招标文件规定的部位查找不到相关内容的，其不利后果由供应商自行承担。</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5、供应商编制、生成电子响应文件后应当加密响应文件。供应商未按规定编制并加密的响应文件，广西政府采购云平台将予以拒收。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供应商公章及签字：</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1、本招标文件中描述供应商的“公章”是指供应商通过指定电子化政府采购平台办理数字证书（CA认证证书）获得的以法定主体行为名称制作的电子印章。</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2、本招标文件中要求供应商对其电子响应文件的相关内容加盖公章的，均指采用CA证书签章。</w:t>
            </w:r>
          </w:p>
          <w:p>
            <w:pPr>
              <w:pStyle w:val="208"/>
              <w:autoSpaceDE w:val="0"/>
              <w:autoSpaceDN w:val="0"/>
              <w:spacing w:line="440" w:lineRule="exact"/>
              <w:textAlignment w:val="bottom"/>
              <w:rPr>
                <w:rFonts w:ascii="宋体" w:hAnsi="宋体" w:cs="宋体"/>
                <w:color w:val="auto"/>
                <w:highlight w:val="none"/>
              </w:rPr>
            </w:pPr>
            <w:r>
              <w:rPr>
                <w:rFonts w:hint="eastAsia" w:ascii="宋体" w:hAnsi="宋体" w:cs="宋体"/>
                <w:color w:val="auto"/>
                <w:highlight w:val="none"/>
              </w:rPr>
              <w:t>3、本招标文件中描述供应商的“签字”是指供应商通过指定电子化政府采购平台办理数字证书（CA认证证书）获得的以供应商法定代表人（负责人、自然人）或者委托代理人姓名制作的个人电子印章或手写签字。没有办理个人CA证书的，可以为手写签字的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817"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8236" w:type="dxa"/>
            <w:vAlign w:val="center"/>
          </w:tcPr>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响应文件的解密：</w:t>
            </w:r>
          </w:p>
          <w:p>
            <w:pPr>
              <w:autoSpaceDE w:val="0"/>
              <w:autoSpaceDN w:val="0"/>
              <w:snapToGrid w:val="0"/>
              <w:spacing w:line="440" w:lineRule="exact"/>
              <w:textAlignment w:val="bottom"/>
              <w:rPr>
                <w:rFonts w:ascii="宋体" w:hAnsi="宋体" w:cs="宋体"/>
                <w:color w:val="auto"/>
                <w:highlight w:val="none"/>
              </w:rPr>
            </w:pPr>
            <w:r>
              <w:rPr>
                <w:rFonts w:hint="eastAsia" w:ascii="宋体" w:hAnsi="宋体" w:cs="宋体"/>
                <w:color w:val="auto"/>
                <w:highlight w:val="none"/>
              </w:rPr>
              <w:t>采购代理机构将在“招标公告”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供应商没预留联系方式或预留联系方式无效，非代理机构原因导致代理机构无法联系到供应商进行解密的，视为响应文件无效。(解密异常情况处理：</w:t>
            </w:r>
            <w:r>
              <w:rPr>
                <w:rFonts w:hint="eastAsia" w:ascii="宋体" w:hAnsi="宋体" w:cs="宋体"/>
                <w:bCs/>
                <w:color w:val="auto"/>
                <w:highlight w:val="none"/>
              </w:rPr>
              <w:t>详见本章30.电子交易活动的中止</w:t>
            </w:r>
            <w:r>
              <w:rPr>
                <w:rFonts w:hint="eastAsia" w:ascii="宋体" w:hAnsi="宋体" w:cs="宋体"/>
                <w:color w:val="auto"/>
                <w:highlight w:val="none"/>
              </w:rPr>
              <w:t>。)</w:t>
            </w:r>
          </w:p>
        </w:tc>
      </w:tr>
    </w:tbl>
    <w:p>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供应商须知正文</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一、总则</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1.适用范围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1.1本竞争性磋商采购文件适用于本项目的竞争性磋商采购、竞争性磋商响应、评审、定标、验收、合同履约、付款等行为（法律、法规另有规定的，从其规定）。</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2.定义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2.1“采购人”：详见竞争性磋商公告。</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2.2“采购代理机构”是指：广西德元工程项目管理有限责任公司。</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2.3“供应商”是</w:t>
      </w:r>
      <w:r>
        <w:rPr>
          <w:rFonts w:hint="eastAsia" w:ascii="宋体" w:hAnsi="宋体" w:cs="宋体"/>
          <w:color w:val="auto"/>
          <w:highlight w:val="none"/>
        </w:rPr>
        <w:t>指响应磋商文件、参加磋商竞争的法人、其他组织或者自然人</w:t>
      </w:r>
      <w:r>
        <w:rPr>
          <w:rFonts w:hint="eastAsia" w:ascii="宋体" w:hAnsi="宋体" w:cs="宋体"/>
          <w:color w:val="auto"/>
          <w:szCs w:val="21"/>
          <w:highlight w:val="none"/>
        </w:rPr>
        <w:t>。如果该供应商在本次磋商采购中成交,即成为“成交供应商”。本文件中的“法定代表人”若无特别说明，当供应商是企业的，是指企业法人营业执照上的法定代表人；当供应商是事业单位的，是指事业单位法人证书上的法定代表人；当供应商是社会团体、民办非企业的，是指法人登记证书中的法定代表人；当供应商是分支机构的，是指分支机构营业执照上的负责人；当供应商是个体工商户的，是指个体工商户营业执照上的经营者；当供应商是自然人的，是指参与本项目响应的自然人本人。</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2.5“服务”</w:t>
      </w:r>
      <w:r>
        <w:rPr>
          <w:rFonts w:hint="eastAsia" w:ascii="宋体" w:hAnsi="宋体" w:cs="宋体"/>
          <w:color w:val="auto"/>
          <w:spacing w:val="-10"/>
          <w:szCs w:val="21"/>
          <w:highlight w:val="none"/>
        </w:rPr>
        <w:t>是</w:t>
      </w:r>
      <w:r>
        <w:rPr>
          <w:rFonts w:hint="eastAsia" w:ascii="宋体" w:hAnsi="宋体" w:cs="宋体"/>
          <w:color w:val="auto"/>
          <w:szCs w:val="21"/>
          <w:highlight w:val="none"/>
        </w:rPr>
        <w:t>指除货物和工程以外的其他政府采购对象。</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2.6“书面形式”包括是指合同书、信件和数据电文（包括电报、电传、传真、电子数据交换和电子邮件）等可以有形地表现所载内容的形式。</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2.7“响应文件”是指：供应商根据本文件要求，编制包含价格、商务、技术和服务等所有内容的文件。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2.8“签字/签名”是指：指</w:t>
      </w:r>
      <w:r>
        <w:rPr>
          <w:rFonts w:hint="eastAsia" w:ascii="宋体" w:hAnsi="宋体" w:cs="宋体"/>
          <w:color w:val="auto"/>
          <w:highlight w:val="none"/>
        </w:rPr>
        <w:t>应商通过指定电子化政府采购平台办理数字证书（CA认证证书）获得的以供应商法定代表人（负责人、自然人）或者委托代理人姓名制作的个人电子印章或手写签字。没有办理个人CA证书的，可以为手写签字的形式。</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2.9“公章”是指供应商通过指定电子化政府采购平台办理数字证书（CA认证证书）获得的以法定主体行为名称制作的电子印章。本招标文件中要求供应商对其电子响应文件的相关内容加盖公章的，均指采用CA证书签章。</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2.10“</w:t>
      </w:r>
      <w:r>
        <w:rPr>
          <w:rFonts w:hint="eastAsia" w:ascii="宋体" w:hAnsi="宋体" w:cs="宋体"/>
          <w:color w:val="auto"/>
          <w:highlight w:val="none"/>
        </w:rPr>
        <w:t>▲</w:t>
      </w:r>
      <w:r>
        <w:rPr>
          <w:rFonts w:hint="eastAsia" w:ascii="宋体" w:hAnsi="宋体" w:cs="宋体"/>
          <w:color w:val="auto"/>
          <w:szCs w:val="21"/>
          <w:highlight w:val="none"/>
        </w:rPr>
        <w:t>”是指实质性要求条款。</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2.11本磋商文件所称的“以上”“以下”“以内”“届满”，包括本数；所称的“不满”“超过”“以外”，不包括本数；如磋商文件另有特殊规定的从其规定。</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3.供应商的资格条件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3.1供应商资格：详见</w:t>
      </w:r>
      <w:bookmarkStart w:id="9" w:name="OLE_LINK23"/>
      <w:r>
        <w:rPr>
          <w:rFonts w:hint="eastAsia" w:ascii="宋体" w:hAnsi="宋体" w:cs="宋体"/>
          <w:color w:val="auto"/>
          <w:szCs w:val="21"/>
          <w:highlight w:val="none"/>
        </w:rPr>
        <w:t>供应商须知前附表</w:t>
      </w:r>
      <w:bookmarkEnd w:id="9"/>
      <w:r>
        <w:rPr>
          <w:rFonts w:hint="eastAsia" w:ascii="宋体" w:hAnsi="宋体" w:cs="宋体"/>
          <w:color w:val="auto"/>
          <w:szCs w:val="21"/>
          <w:highlight w:val="none"/>
        </w:rPr>
        <w:t>。</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4.磋商费用</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4.1供应商应自行承担所有与编写和提交响应文件有关的费用，不论磋商结果如何，采购人和采购代理机构在任何情况下无义务和责任承担此类费用。</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5.联合体竞标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5.2联合体要求（联合体竞标时应满足下列要求）：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（1）两个以上供应商可以组成一个竞标联合体，以一个供应商的身份共同参加竞标，联合体供应商的名称应统一按“XXX公司与XXX公司的联合体”的规则填写。</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（2）以联合体形式参加竞标的，联合体各方均应当符合“具有独立承担民事责任的能力”的条件。本项目有特殊要求规定供应商特定条件的，联合体各方中至少应当有一方符合招标文件规定的特定条件。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联合体竞标的，须提供《联合体竞标协议书》，协议书必须明确主体方（或者牵头方）并明确约定联合体各方承担的工作和相应的责任（各方承担责任与义务的分工必须符合采购需求，否则，联合体竞标无效），并将联合竞标协议放入响应文件。联合体各方必须共同与采购人签订采购合同，就采购合同约定的事项对采购人承担连带责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（4）以联合体形式参加政府采购活动的，联合体各方不得再单独参加或者与其他供应商另外组成联合体参加同一合同项下的政府采购活动，否则与之相关的响应文件作废。</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（5）联合体中有同类资质的供应商按照联合体分工承担相同工作的，应当按照资质等级较低的供应商确定资质等级。</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（6）联合体竞标业绩、履约能力按照联合体各方其中较高的一方认定并计算（招标文件另有规定的除外）。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（7）联合体各方均应按照招标文件的规定提交资格证明文件。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5.3根据《政府采购促进中小企业发展管理办法》（财库[2020]46号）第九条规定，接受大中型企业与小微企业组成联合体的采购项目，对于联合协议约定小微企业的合同份额占到合同总金额30%以上的，采购人、采购代理机构应当对联合体的报价给予4%-6%（工程项目为1%—2%）的扣除，用扣除后的价格参加评审。组成联合体的小微企业与联合体内其他企业、分包企业之间存在直接控股、管理关系的，不享受价格扣除优惠政策。</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6.分包与转包</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供应商根据招标文件的规定和采购项目的实际情况，拟在中标后将中标项目的非主体、非关键性工作分包的，应当在响应文件中载明分包承担主体，分包承担主体应当具备相应资质条件且不得再次分包。</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6.2根据《政府采购促进中小企业发展管理办法》（财库[2020]46号）第九条规定，允许大中型企业向一家或者多家小微企业分包的采购项目，对于分包意向协议约定小微企业的合同份额占到合同总金额30%以上的，采购人、采购代理机构应当对大中型企业的报价给予4%-6%的扣除，用扣除后的价格参加评审。接受分包的小微企业与分包企业之间存在直接控股、管理关系的，不享受价格扣除优惠政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6.3本项目不允许转包。</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7.特别说明</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7.1出现下列情形之一的，在评审过程中，按一家供应商计算，评审后得分最高的同品牌供应商获得中标人推荐资格；评审得分相同的，以报价最低的供应商获得中标人推荐资格；评审得分及投标报价相同的，以技术得分最高的供应商获得中标人推荐资格；其他同品牌供应商不作为中标候选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（1）提供相同品牌产品且通过资格审查、符合性审查的不同供应商参加单一产品的同一合同项下的政府采购活动的。</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（2）非单一产品采购项目中，多家供应商提供的核心产品品牌相同的，视为提供相同品牌产品。核心产品的名称应当在招标文件中载明。</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7.2供应商投标所使用的资格、信誉、荣誉、业绩与企业认证必须为本供应商所拥有。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7.3供应商应仔细阅读招标文件的所有内容，按照招标文件的要求提交响应文件，并对所提供的全部资料的真实性承担法律责任。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7.4供应商在投标活动中提供任何虚假材料,其投标无效，并报监管部门查处；中标后发现的,中标供应商须依照《中华人民共和国消费者权益保护法》规定赔偿采购人，且民事赔偿并不免除违法供应商的行政与刑事责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7.6有下列情形之一的视为供应商相互串通投标，其投标无效：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（3）不同供应商的响应文件载明的项目管理成员或者联系人员为同一人；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（4）不同供应商的响应文件异常一致或投标报价呈规律性差异；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（6）不同供应商的投标保证金从同一单位或者个人账户转出。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（1）供应商直接或者间接从采购人或者采购代理机构处获得其他供应商的相关信息并修改其投标文件或者响应文件：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（2）供应商按照采购人或者采购代理机构的授意撤换、修改投标文件或者响应文件；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（3）供应商之间协商报价、技术方案等投标文件或者响应文件的实质性内容；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（5）供应商之间事先约定一致抬高或者压低投标报价,或者在招标项目中事先约定轮流以高价位或者低价位中标,或者事先约定由某一特定供应商中标,然后再参加投标；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（6）供应商之间商定部分供应商放弃参加政府采购活动或者放弃中标；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（7）供应商与采购人或者采购代理机构之间、供应商相互之间，为谋求特定供应商中标或者排斥其他供应商的其他串通行为。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7.8关联供应商不得参加同一合同项下政府采购活动，否则响应文件将被视为无效：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（1）单位负责人为同一人或者存在直接控股、管理关系的不同的供应商，不得参加同一合同项下的政府采购活动；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（2）生产厂商授权给供应商后自己不得参加同一合同项下的政府采购活动；生产厂商对同一品牌同一型号的货物，仅能委托一个代理商参加投标。</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8.质疑和投诉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8.1供应商认为招标文件、招标过程或中标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8.2质疑、投诉应当采用书面形式，质疑书、投诉书均应明确阐述招标文件、招标过程或中标结果中使自己合法权益受到损害的实质性内容，提供相关事实、依据和证据及其来源或线索，便于有关单位调查、答复和处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8.3质疑和投诉书面要求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质疑人或投诉人提供的书面材料（如材料中有外文资料须同时附上中文译本）至少包括以下内容：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（1）质疑人或投诉人的姓名或者名称、地址、邮编、联系人及联系电话；</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（2）质疑项目的名称、编号；</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（3）具体、明确的质疑事项和与质疑事项相关的请求；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（4）事实依据；</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（5）必要的法律依据；</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（6）质疑人或投诉人的签章及质疑或投诉时间；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（7）质疑或投诉的书面材料须提供法定代表人签名和加盖单位公章的原件。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（8）质疑人须一次性提出针对同一采购程序环节的质疑。</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9）如质疑或投诉委托代理人办理时，须提供质疑人的授权委托书，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未持有有效授权委托书的代理人提交的质疑函或不在法定质疑期内提交的质疑函，将不予受理。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8.4接受质疑函的联系方式等详见磋商公告中采购人、采购代理机构的联系方式。</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二、磋商文件</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9.竞争性磋商采购文件的组成</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（1）磋商公告；</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（2）供应商须知；</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（3）项目需求；</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（4）评审办法和定标标准；</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（5）响应文件格式；</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（6）合同主要条款；</w:t>
      </w:r>
    </w:p>
    <w:p>
      <w:pPr>
        <w:spacing w:line="440" w:lineRule="exact"/>
        <w:ind w:firstLine="140" w:firstLineChars="67"/>
        <w:rPr>
          <w:rFonts w:ascii="宋体" w:hAnsi="宋体" w:cs="宋体"/>
          <w:color w:val="auto"/>
          <w:szCs w:val="21"/>
          <w:highlight w:val="none"/>
        </w:rPr>
      </w:pPr>
      <w:r>
        <w:rPr>
          <w:rFonts w:hint="eastAsia" w:ascii="宋体" w:hAnsi="宋体" w:cs="宋体"/>
          <w:color w:val="auto"/>
          <w:szCs w:val="21"/>
          <w:highlight w:val="none"/>
        </w:rPr>
        <w:t>（7）其他资料（如有）。</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10.供应商的风险</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10.1供应商没有按照招标文件要求提供全部资料，或者供应商没有对招标文件在各方面作出实质性响应是供应商的风险，并可能导致其投标被拒绝。</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11.磋商文件的澄清与修改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11.1供应商应</w:t>
      </w:r>
      <w:r>
        <w:rPr>
          <w:rFonts w:hint="eastAsia" w:ascii="宋体" w:hAnsi="宋体" w:cs="宋体"/>
          <w:bCs/>
          <w:color w:val="auto"/>
          <w:highlight w:val="none"/>
        </w:rPr>
        <w:t>认真阅读本磋商文件，发现</w:t>
      </w:r>
      <w:r>
        <w:rPr>
          <w:rFonts w:hint="eastAsia" w:ascii="宋体" w:hAnsi="宋体" w:cs="宋体"/>
          <w:color w:val="auto"/>
          <w:highlight w:val="none"/>
        </w:rPr>
        <w:t>磋商文件表述不清晰、存在歧视性、排他性或者其他违法内容的，应以书面形式要求招标采购单位作出书面解释、澄清</w:t>
      </w:r>
      <w:r>
        <w:rPr>
          <w:rFonts w:hint="eastAsia" w:ascii="宋体" w:hAnsi="宋体" w:cs="宋体"/>
          <w:color w:val="auto"/>
          <w:szCs w:val="21"/>
          <w:highlight w:val="none"/>
        </w:rPr>
        <w:t>，否则，由此产生的后果由供应商负责。</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11.2任何要求澄清竞争性磋商文件的供应商，均应在首次响应文件递交截止日期三日前的正常工作时间以书面形式通知采购人或采购代理机构，采购人或采购代理机构将以书面形式予以答复。</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11.3采购人或采购代理机构对已发出的磋商文件进行必要澄清或者修改的，澄清和修改对供应商编制响应文件造成实质影响的，在竞争性磋商文件要求提交竞争性磋商响应文件截止时间五日前（不足五日顺延），并将以书面形式通知（在“供应商须知前附表”规定的发布媒体上发布更正公告）所有获取磋商文件的供应商。该澄清或者修改的内容为竞争性磋商文件的组成部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11.4采购人可视具体情况，延长响应文件递交截止时间和开标时间，并在“供应商须知前附表”规定的发布媒体上发布变更公告。</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12.现场考察或答疑会</w:t>
      </w:r>
    </w:p>
    <w:p>
      <w:pPr>
        <w:spacing w:line="440" w:lineRule="exact"/>
        <w:ind w:left="2"/>
        <w:rPr>
          <w:rFonts w:ascii="宋体" w:hAnsi="宋体" w:cs="宋体"/>
          <w:color w:val="auto"/>
          <w:szCs w:val="21"/>
          <w:highlight w:val="none"/>
        </w:rPr>
      </w:pPr>
      <w:r>
        <w:rPr>
          <w:rFonts w:hint="eastAsia" w:ascii="宋体" w:hAnsi="宋体" w:cs="宋体"/>
          <w:color w:val="auto"/>
          <w:szCs w:val="21"/>
          <w:highlight w:val="none"/>
        </w:rPr>
        <w:t>12.1采购人可以视采购项目的具体情况，按须知前附表的规定组织供应商进行现场考察或召开磋商前答疑会，但不得单独或分别组织只有一个供应商参加的现场考察和答疑会。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12.2供应商考察现场或参加答疑会发生的费用自理。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12.3供应商自行负责在考察现场或参加答疑会中所发生的人员伤亡和财产损失。</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三、响应文件的编制</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13.响应文件的组成</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响应文件由资格证明文件、商务和技术文件、报价文件组成。</w:t>
      </w:r>
    </w:p>
    <w:p>
      <w:pPr>
        <w:pStyle w:val="23"/>
        <w:spacing w:line="440" w:lineRule="exact"/>
        <w:rPr>
          <w:rFonts w:hAnsi="宋体" w:cs="宋体"/>
          <w:b/>
          <w:color w:val="auto"/>
          <w:sz w:val="21"/>
          <w:highlight w:val="none"/>
        </w:rPr>
      </w:pPr>
      <w:r>
        <w:rPr>
          <w:rFonts w:hint="eastAsia" w:hAnsi="宋体" w:cs="宋体"/>
          <w:b/>
          <w:color w:val="auto"/>
          <w:sz w:val="21"/>
          <w:highlight w:val="none"/>
        </w:rPr>
        <w:t>13.1资格证明文件（以下文件标注“▲”的必须提供，否则投标无效，其他可根据实际情况提供）</w:t>
      </w:r>
    </w:p>
    <w:p>
      <w:pPr>
        <w:pStyle w:val="23"/>
        <w:spacing w:line="440" w:lineRule="exact"/>
        <w:ind w:firstLine="405"/>
        <w:rPr>
          <w:rFonts w:hAnsi="宋体" w:cs="宋体"/>
          <w:b/>
          <w:color w:val="auto"/>
          <w:sz w:val="21"/>
          <w:highlight w:val="none"/>
        </w:rPr>
      </w:pPr>
      <w:r>
        <w:rPr>
          <w:rFonts w:hint="eastAsia" w:hAnsi="宋体" w:cs="宋体"/>
          <w:b/>
          <w:color w:val="auto"/>
          <w:sz w:val="21"/>
          <w:highlight w:val="none"/>
        </w:rPr>
        <w:t>▲注：以下各项属于均要加盖供应商电子公章。联合体投标时，第2-10项资格证明文件联合体各方均必须分别提供，联合体各方分别盖章和签字，否则响应文件按无效响应处理。</w:t>
      </w:r>
    </w:p>
    <w:p>
      <w:pPr>
        <w:snapToGrid w:val="0"/>
        <w:spacing w:line="440" w:lineRule="exact"/>
        <w:ind w:firstLine="413" w:firstLineChars="196"/>
        <w:jc w:val="left"/>
        <w:rPr>
          <w:rFonts w:ascii="宋体" w:hAnsi="宋体" w:cs="宋体"/>
          <w:color w:val="auto"/>
          <w:szCs w:val="21"/>
          <w:highlight w:val="none"/>
        </w:rPr>
      </w:pPr>
      <w:r>
        <w:rPr>
          <w:rFonts w:hint="eastAsia" w:ascii="宋体" w:hAnsi="宋体" w:cs="宋体"/>
          <w:b/>
          <w:color w:val="auto"/>
          <w:szCs w:val="21"/>
          <w:highlight w:val="none"/>
        </w:rPr>
        <w:t>▲</w:t>
      </w:r>
      <w:r>
        <w:rPr>
          <w:rFonts w:hint="eastAsia" w:ascii="宋体" w:hAnsi="宋体" w:cs="宋体"/>
          <w:color w:val="auto"/>
          <w:szCs w:val="21"/>
          <w:highlight w:val="none"/>
        </w:rPr>
        <w:t>（</w:t>
      </w:r>
      <w:r>
        <w:rPr>
          <w:rFonts w:hint="eastAsia" w:ascii="宋体" w:hAnsi="宋体" w:cs="宋体"/>
          <w:bCs/>
          <w:color w:val="auto"/>
          <w:szCs w:val="21"/>
          <w:highlight w:val="none"/>
        </w:rPr>
        <w:t>1</w:t>
      </w:r>
      <w:r>
        <w:rPr>
          <w:rFonts w:hint="eastAsia" w:ascii="宋体" w:hAnsi="宋体" w:cs="宋体"/>
          <w:color w:val="auto"/>
          <w:szCs w:val="21"/>
          <w:highlight w:val="none"/>
        </w:rPr>
        <w:t>）磋商声明书(按第四章要求格式填写)；</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▲（2）响应供应商合法的主体资格证明（如营业执照、事业单位法人证书、执业许可证、个体工商户营业执照、自然人身份证等）复印件</w:t>
      </w:r>
      <w:r>
        <w:rPr>
          <w:rFonts w:hint="eastAsia" w:ascii="宋体" w:hAnsi="宋体" w:cs="宋体"/>
          <w:bCs/>
          <w:color w:val="auto"/>
          <w:szCs w:val="21"/>
          <w:highlight w:val="none"/>
        </w:rPr>
        <w:t>；</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3）响应供应商依法缴纳税收的相关材料（2024年11月至2025年4月内任意连续3个月的依法缴纳税收的证明材料（凭证或税务机关出具的证明）复印件（或扫描件）；依法免税的供应商，必须提供相应文件证明其依法免税。从成立之日起到投标文件提交截止时间止不足要求月数的，只需提供从成立之日起的依法缴纳税收相应证明文件）；</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4）响应供应商依法缴纳社会保障资金的相关材料（2024年11月至2025年4月内任意连续3个月的依法缴纳社会保障资金的缴费凭证（专用收据或者社会保险缴纳清单或者社保部门出具的证明文件）复印件（或扫描件）；依法不需要缴纳社会保障资金的供应商，必须提供相应文件证明不需要缴纳社会保障资金；如供应商社保由上级公司缴纳的，须提供以下资料：上级公司营业执照副本复印件；上级公司出具的社保缴纳情况说明原件（附供应商拟投入人员名单）；上级公司于开标前最近一次社会保障资金的缴费凭证；上级公司于开标前最近一次缴纳社会保险的供应商拟投入人员明细；从成立之日起到投标文件提交截止时间止不足要求月数的只需提供从成立之日起的依法缴纳社会保障资金的相应证明文件）；</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▲（5）</w:t>
      </w:r>
      <w:r>
        <w:rPr>
          <w:rFonts w:hint="eastAsia" w:ascii="宋体" w:hAnsi="宋体" w:cs="宋体"/>
          <w:color w:val="auto"/>
          <w:szCs w:val="21"/>
          <w:highlight w:val="none"/>
        </w:rPr>
        <w:t>响应供应商</w:t>
      </w:r>
      <w:r>
        <w:rPr>
          <w:rFonts w:hint="eastAsia" w:ascii="宋体" w:hAnsi="宋体" w:cs="宋体"/>
          <w:color w:val="auto"/>
          <w:highlight w:val="none"/>
        </w:rPr>
        <w:t>2023年或2024年财务状况报告复印件【①可以是经会计师事务所审计的财务报告，或是本公司出具的财务报表；②新近成立不足半年的公司按实际提供财务报表】，或者银行出具的资信证明（说明：资信证明指：反映供应商资金结算无异常，无违规透支，无理拒付、无逾期（垫款）和欠息等不良记录，结算纪律良好的相关证明，并非指存款证明。如所提供该证明仅为存款数额信息的将作无效证明处理，并按无效投标处理）；</w:t>
      </w:r>
    </w:p>
    <w:p>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▲（6）参加政府采购活动前三年内在经营活动中没有重大违法记录和不良信用记录的书面声明书（格式自拟）；</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（7）</w:t>
      </w:r>
      <w:r>
        <w:rPr>
          <w:rFonts w:hint="eastAsia" w:ascii="宋体" w:hAnsi="宋体" w:cs="宋体"/>
          <w:color w:val="auto"/>
          <w:szCs w:val="21"/>
          <w:highlight w:val="none"/>
        </w:rPr>
        <w:t>供应商如为分支机构投标的，须提供其总公司“营业执照”副本复印件和总公司对供应商参与本项目投标的授权书原件；</w:t>
      </w:r>
    </w:p>
    <w:p>
      <w:pPr>
        <w:snapToGrid w:val="0"/>
        <w:spacing w:line="440" w:lineRule="exact"/>
        <w:ind w:firstLine="411" w:firstLineChars="196"/>
        <w:jc w:val="left"/>
        <w:rPr>
          <w:rFonts w:ascii="宋体" w:hAnsi="宋体" w:cs="宋体"/>
          <w:color w:val="auto"/>
          <w:szCs w:val="21"/>
          <w:highlight w:val="none"/>
        </w:rPr>
      </w:pPr>
      <w:r>
        <w:rPr>
          <w:rFonts w:hint="eastAsia" w:ascii="宋体" w:hAnsi="宋体" w:cs="宋体"/>
          <w:color w:val="auto"/>
          <w:highlight w:val="none"/>
        </w:rPr>
        <w:t>▲（8）</w:t>
      </w:r>
      <w:r>
        <w:rPr>
          <w:rFonts w:hint="eastAsia" w:ascii="宋体" w:hAnsi="宋体" w:cs="宋体"/>
          <w:color w:val="auto"/>
          <w:szCs w:val="21"/>
          <w:highlight w:val="none"/>
        </w:rPr>
        <w:t>供应商直接控股、管理关系信息表(按第四章要求格式填写)；</w:t>
      </w:r>
    </w:p>
    <w:p>
      <w:pPr>
        <w:snapToGrid w:val="0"/>
        <w:spacing w:line="440" w:lineRule="exact"/>
        <w:ind w:firstLine="621" w:firstLineChars="296"/>
        <w:jc w:val="left"/>
        <w:rPr>
          <w:rFonts w:ascii="宋体" w:hAnsi="宋体" w:cs="宋体"/>
          <w:color w:val="auto"/>
          <w:szCs w:val="21"/>
          <w:highlight w:val="none"/>
        </w:rPr>
      </w:pPr>
      <w:r>
        <w:rPr>
          <w:rFonts w:hint="eastAsia" w:ascii="宋体" w:hAnsi="宋体" w:cs="宋体"/>
          <w:color w:val="auto"/>
          <w:szCs w:val="21"/>
          <w:highlight w:val="none"/>
        </w:rPr>
        <w:t>（9）联合体协议书；（联合体投标时必须提供，否则响应文件按无效响应处理）</w:t>
      </w:r>
    </w:p>
    <w:p>
      <w:pPr>
        <w:snapToGrid w:val="0"/>
        <w:spacing w:line="440" w:lineRule="exact"/>
        <w:ind w:firstLine="411" w:firstLineChars="196"/>
        <w:jc w:val="left"/>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bCs w:val="0"/>
          <w:color w:val="auto"/>
          <w:highlight w:val="none"/>
        </w:rPr>
        <w:t>（10）</w:t>
      </w:r>
      <w:r>
        <w:rPr>
          <w:rFonts w:hint="eastAsia" w:ascii="宋体" w:hAnsi="宋体" w:eastAsia="宋体" w:cs="宋体"/>
          <w:color w:val="auto"/>
          <w:highlight w:val="none"/>
        </w:rPr>
        <w:t>特定资格条件：（如有要求则必须提供，否则响应文件按无效响应处理）</w:t>
      </w:r>
    </w:p>
    <w:p>
      <w:pPr>
        <w:snapToGrid w:val="0"/>
        <w:spacing w:line="440" w:lineRule="exact"/>
        <w:ind w:firstLine="411" w:firstLineChars="196"/>
        <w:jc w:val="left"/>
        <w:rPr>
          <w:rFonts w:hint="eastAsia" w:ascii="宋体" w:hAnsi="宋体" w:eastAsia="宋体" w:cs="宋体"/>
          <w:b/>
          <w:bCs/>
          <w:color w:val="auto"/>
          <w:highlight w:val="none"/>
        </w:rPr>
      </w:pPr>
      <w:r>
        <w:rPr>
          <w:rFonts w:hint="eastAsia" w:ascii="宋体" w:hAnsi="宋体" w:eastAsia="宋体" w:cs="宋体"/>
          <w:color w:val="auto"/>
          <w:highlight w:val="none"/>
        </w:rPr>
        <w:t>▲</w:t>
      </w:r>
      <w:r>
        <w:rPr>
          <w:rFonts w:hint="eastAsia" w:ascii="宋体" w:hAnsi="宋体" w:eastAsia="宋体" w:cs="宋体"/>
          <w:color w:val="auto"/>
          <w:szCs w:val="24"/>
          <w:highlight w:val="none"/>
        </w:rPr>
        <w:t>（11）中小企业声明函或监狱企业由省级以上监狱管理局、戒毒管理局（含新疆生产建设兵团）出具的属于监狱企业的证明文件或残疾人福利性单位声明函</w:t>
      </w:r>
      <w:r>
        <w:rPr>
          <w:rFonts w:hint="eastAsia" w:ascii="宋体" w:hAnsi="宋体" w:eastAsia="宋体" w:cs="宋体"/>
          <w:b/>
          <w:bCs/>
          <w:color w:val="auto"/>
          <w:szCs w:val="24"/>
          <w:highlight w:val="none"/>
        </w:rPr>
        <w:t>（</w:t>
      </w:r>
      <w:r>
        <w:rPr>
          <w:rFonts w:hint="eastAsia" w:ascii="宋体" w:hAnsi="宋体" w:cs="宋体"/>
          <w:b/>
          <w:bCs/>
          <w:color w:val="auto"/>
          <w:szCs w:val="24"/>
          <w:highlight w:val="none"/>
          <w:lang w:val="zh-CN"/>
        </w:rPr>
        <w:t>原标项二</w:t>
      </w:r>
      <w:r>
        <w:rPr>
          <w:rFonts w:hint="eastAsia" w:ascii="宋体" w:hAnsi="宋体" w:eastAsia="宋体" w:cs="宋体"/>
          <w:b/>
          <w:bCs/>
          <w:color w:val="auto"/>
          <w:szCs w:val="24"/>
          <w:highlight w:val="none"/>
          <w:lang w:val="zh-CN"/>
        </w:rPr>
        <w:t>、</w:t>
      </w:r>
      <w:r>
        <w:rPr>
          <w:rFonts w:hint="eastAsia" w:ascii="宋体" w:hAnsi="宋体" w:cs="宋体"/>
          <w:b/>
          <w:bCs/>
          <w:color w:val="auto"/>
          <w:szCs w:val="24"/>
          <w:highlight w:val="none"/>
          <w:lang w:val="zh-CN"/>
        </w:rPr>
        <w:t>原标项五</w:t>
      </w:r>
      <w:r>
        <w:rPr>
          <w:rFonts w:hint="eastAsia" w:ascii="宋体" w:hAnsi="宋体" w:eastAsia="宋体" w:cs="宋体"/>
          <w:b/>
          <w:bCs/>
          <w:color w:val="auto"/>
          <w:szCs w:val="24"/>
          <w:highlight w:val="none"/>
        </w:rPr>
        <w:t>必须提供，</w:t>
      </w:r>
      <w:r>
        <w:rPr>
          <w:rFonts w:hint="eastAsia" w:ascii="宋体" w:hAnsi="宋体" w:eastAsia="宋体" w:cs="宋体"/>
          <w:b/>
          <w:bCs/>
          <w:color w:val="auto"/>
          <w:highlight w:val="none"/>
        </w:rPr>
        <w:t>否则投标无效</w:t>
      </w:r>
      <w:r>
        <w:rPr>
          <w:rFonts w:hint="eastAsia" w:ascii="宋体" w:hAnsi="宋体" w:eastAsia="宋体" w:cs="宋体"/>
          <w:b/>
          <w:bCs/>
          <w:color w:val="auto"/>
          <w:szCs w:val="24"/>
          <w:highlight w:val="none"/>
        </w:rPr>
        <w:t>）</w:t>
      </w:r>
    </w:p>
    <w:p>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13.2商务和技术文件（以下文件标注“▲”的必须提供，“招标项目采购需求”要求“必须提供”的必须提供，其他可根据实际情况提供，</w:t>
      </w:r>
      <w:r>
        <w:rPr>
          <w:rFonts w:hint="eastAsia" w:ascii="宋体" w:hAnsi="宋体" w:cs="宋体"/>
          <w:b/>
          <w:color w:val="auto"/>
          <w:highlight w:val="none"/>
        </w:rPr>
        <w:t>第</w:t>
      </w:r>
      <w:r>
        <w:rPr>
          <w:rFonts w:hint="eastAsia" w:ascii="宋体" w:hAnsi="宋体" w:cs="宋体"/>
          <w:b/>
          <w:color w:val="auto"/>
          <w:szCs w:val="21"/>
          <w:highlight w:val="none"/>
        </w:rPr>
        <w:t>（1）（2）项由法定代表人签名，否则其投标无效</w:t>
      </w:r>
      <w:r>
        <w:rPr>
          <w:rFonts w:hint="eastAsia" w:ascii="宋体" w:hAnsi="宋体" w:cs="宋体"/>
          <w:color w:val="auto"/>
          <w:szCs w:val="21"/>
          <w:highlight w:val="none"/>
        </w:rPr>
        <w:t>）</w:t>
      </w:r>
    </w:p>
    <w:p>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▲（1）法定代表人身份证明书(按第四章要求格式填写)；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▲（2）法定代表人授权委托书及被授权委托人身份证复印件(委托代理时，按第四章要求格式填写)；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（3）供应商情况介绍（格式自拟）；</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▲（4）商务响应表(按第四章要求格式填写)；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▲（5）技术响应表(按第四章要求格式填写，附“第三章采购需求”中要求提供的相关材料)；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▲（6）拟投入人员汇总表（附拟投入人员相关证书复印件，</w:t>
      </w:r>
      <w:r>
        <w:rPr>
          <w:rFonts w:hint="eastAsia" w:ascii="宋体" w:hAnsi="宋体" w:cs="宋体"/>
          <w:bCs/>
          <w:color w:val="auto"/>
          <w:szCs w:val="21"/>
          <w:highlight w:val="none"/>
        </w:rPr>
        <w:t>按第四章格式填写</w:t>
      </w:r>
      <w:r>
        <w:rPr>
          <w:rFonts w:hint="eastAsia" w:ascii="宋体" w:hAnsi="宋体" w:cs="宋体"/>
          <w:color w:val="auto"/>
          <w:szCs w:val="21"/>
          <w:highlight w:val="none"/>
        </w:rPr>
        <w:t>）</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▲（7）项目实施方案；(按第四章要求格式填写)；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▲（8）服务承诺书（按第四章格式填写）；</w:t>
      </w:r>
    </w:p>
    <w:p>
      <w:pPr>
        <w:snapToGrid w:val="0"/>
        <w:spacing w:line="440" w:lineRule="exact"/>
        <w:ind w:firstLine="411" w:firstLineChars="196"/>
        <w:jc w:val="left"/>
        <w:rPr>
          <w:rFonts w:hint="eastAsia" w:ascii="宋体" w:hAnsi="宋体" w:eastAsia="宋体" w:cs="宋体"/>
          <w:color w:val="auto"/>
          <w:highlight w:val="none"/>
          <w:lang w:eastAsia="zh-CN"/>
        </w:rPr>
      </w:pPr>
      <w:r>
        <w:rPr>
          <w:rFonts w:hint="eastAsia" w:ascii="宋体" w:hAnsi="宋体" w:cs="宋体"/>
          <w:color w:val="auto"/>
          <w:szCs w:val="21"/>
          <w:highlight w:val="none"/>
        </w:rPr>
        <w:t>▲</w:t>
      </w:r>
      <w:r>
        <w:rPr>
          <w:rFonts w:hint="eastAsia" w:ascii="宋体" w:hAnsi="宋体" w:cs="宋体"/>
          <w:color w:val="auto"/>
          <w:highlight w:val="none"/>
        </w:rPr>
        <w:t>（9）</w:t>
      </w:r>
      <w:r>
        <w:rPr>
          <w:rFonts w:hint="eastAsia" w:ascii="宋体" w:hAnsi="宋体" w:cs="宋体"/>
          <w:color w:val="auto"/>
          <w:highlight w:val="none"/>
          <w:lang w:val="en-US" w:eastAsia="zh-CN"/>
        </w:rPr>
        <w:t>磋商</w:t>
      </w:r>
      <w:r>
        <w:rPr>
          <w:rFonts w:hint="eastAsia" w:ascii="宋体" w:hAnsi="宋体" w:cs="宋体"/>
          <w:color w:val="auto"/>
          <w:highlight w:val="none"/>
        </w:rPr>
        <w:t>保证金缴纳证明材料复印件</w:t>
      </w:r>
      <w:r>
        <w:rPr>
          <w:rFonts w:hint="eastAsia" w:ascii="宋体" w:hAnsi="宋体" w:cs="宋体"/>
          <w:color w:val="auto"/>
          <w:szCs w:val="21"/>
          <w:highlight w:val="none"/>
        </w:rPr>
        <w:t>（按第四章格式填写）</w:t>
      </w:r>
      <w:r>
        <w:rPr>
          <w:rFonts w:hint="eastAsia" w:ascii="宋体" w:hAnsi="宋体" w:cs="宋体"/>
          <w:color w:val="auto"/>
          <w:highlight w:val="none"/>
          <w:lang w:eastAsia="zh-CN"/>
        </w:rPr>
        <w:t>；</w:t>
      </w:r>
    </w:p>
    <w:p>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10</w:t>
      </w:r>
      <w:r>
        <w:rPr>
          <w:rFonts w:hint="eastAsia" w:ascii="宋体" w:hAnsi="宋体" w:cs="宋体"/>
          <w:color w:val="auto"/>
          <w:highlight w:val="none"/>
          <w:lang w:eastAsia="zh-CN"/>
        </w:rPr>
        <w:t>）</w:t>
      </w:r>
      <w:r>
        <w:rPr>
          <w:rFonts w:hint="eastAsia" w:ascii="宋体" w:hAnsi="宋体" w:cs="宋体"/>
          <w:color w:val="auto"/>
          <w:highlight w:val="none"/>
        </w:rPr>
        <w:t>代理服务费承诺书(按第四章要求格式填写)；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）供应商对本项目的合理化建议和改进措施（格式自拟）；</w:t>
      </w:r>
    </w:p>
    <w:p>
      <w:pPr>
        <w:snapToGrid w:val="0"/>
        <w:spacing w:line="440" w:lineRule="exact"/>
        <w:ind w:firstLine="411" w:firstLineChars="196"/>
        <w:jc w:val="left"/>
        <w:rPr>
          <w:rFonts w:ascii="宋体" w:hAnsi="宋体" w:cs="宋体"/>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highlight w:val="none"/>
        </w:rPr>
        <w:t>供应商认为需要提供的其他证明材料。（供应商根据“第三章项目采购需求”及“第六章评标方法及评标标准”提供有关证明材料）。</w:t>
      </w:r>
    </w:p>
    <w:p>
      <w:pPr>
        <w:snapToGrid w:val="0"/>
        <w:spacing w:before="120" w:beforeLines="50" w:line="440" w:lineRule="exact"/>
        <w:jc w:val="left"/>
        <w:rPr>
          <w:rFonts w:ascii="宋体" w:hAnsi="宋体" w:cs="宋体"/>
          <w:color w:val="auto"/>
          <w:szCs w:val="21"/>
          <w:highlight w:val="none"/>
        </w:rPr>
      </w:pPr>
      <w:r>
        <w:rPr>
          <w:rFonts w:hint="eastAsia" w:ascii="宋体" w:hAnsi="宋体" w:cs="宋体"/>
          <w:b/>
          <w:color w:val="auto"/>
          <w:szCs w:val="21"/>
          <w:highlight w:val="none"/>
        </w:rPr>
        <w:t>13.3报价文件（以下文件标注“▲”的必须提供，要求“必须提供”的必须提供，其他可根据实际情况提供</w:t>
      </w:r>
      <w:r>
        <w:rPr>
          <w:rFonts w:hint="eastAsia" w:ascii="宋体" w:hAnsi="宋体" w:cs="宋体"/>
          <w:color w:val="auto"/>
          <w:szCs w:val="21"/>
          <w:highlight w:val="none"/>
        </w:rPr>
        <w:t>）</w:t>
      </w:r>
    </w:p>
    <w:p>
      <w:pPr>
        <w:snapToGrid w:val="0"/>
        <w:spacing w:line="440" w:lineRule="exact"/>
        <w:ind w:firstLine="422" w:firstLineChars="200"/>
        <w:jc w:val="left"/>
        <w:rPr>
          <w:rFonts w:ascii="宋体" w:hAnsi="宋体" w:cs="宋体"/>
          <w:b/>
          <w:color w:val="auto"/>
          <w:highlight w:val="none"/>
        </w:rPr>
      </w:pPr>
      <w:r>
        <w:rPr>
          <w:rFonts w:hint="eastAsia" w:ascii="宋体" w:hAnsi="宋体" w:cs="宋体"/>
          <w:b/>
          <w:color w:val="auto"/>
          <w:highlight w:val="none"/>
        </w:rPr>
        <w:t>▲注：以下标注“▲”均要加盖供应商单位电子公章</w:t>
      </w:r>
      <w:r>
        <w:rPr>
          <w:rFonts w:hint="eastAsia" w:ascii="宋体" w:hAnsi="宋体" w:cs="宋体"/>
          <w:b/>
          <w:bCs/>
          <w:color w:val="auto"/>
          <w:szCs w:val="21"/>
          <w:highlight w:val="none"/>
        </w:rPr>
        <w:t>或</w:t>
      </w:r>
      <w:r>
        <w:rPr>
          <w:rFonts w:hint="eastAsia" w:ascii="宋体" w:hAnsi="宋体" w:cs="宋体"/>
          <w:b/>
          <w:color w:val="auto"/>
          <w:highlight w:val="none"/>
        </w:rPr>
        <w:t>自然人加盖手指指印，否则其投标无效。</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▲（1）竞标函（按第四章要求格式填写）；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▲（2）报价表(按第四章要求格式填写)；</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（3）中小企业声明函（供应商如为中小微型企业的请按第四章要求的格式提供，否则不予享受优惠政策）；</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（4）监狱企业由省级以上监狱管理局、戒毒管理局（含新疆生产建设兵团）出具的属于监狱企业的证明文件；</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（5）残疾人福利性单位声明函（供应商如为残疾人福利性单位的请按第四章要求的格式提供，否则不予享受优惠政策）；</w:t>
      </w:r>
    </w:p>
    <w:p>
      <w:pPr>
        <w:snapToGrid w:val="0"/>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（6）供应商针对报价需要说明的其他文件和说明（如有，格式自拟）</w:t>
      </w:r>
    </w:p>
    <w:p>
      <w:pPr>
        <w:snapToGrid w:val="0"/>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注：若</w:t>
      </w:r>
      <w:r>
        <w:rPr>
          <w:rFonts w:hint="eastAsia" w:ascii="宋体" w:hAnsi="宋体" w:cs="宋体"/>
          <w:b/>
          <w:bCs/>
          <w:color w:val="auto"/>
          <w:highlight w:val="none"/>
        </w:rPr>
        <w:t>竞争性磋商</w:t>
      </w:r>
      <w:r>
        <w:rPr>
          <w:rFonts w:hint="eastAsia" w:ascii="宋体" w:hAnsi="宋体" w:cs="宋体"/>
          <w:b/>
          <w:bCs/>
          <w:color w:val="auto"/>
          <w:szCs w:val="21"/>
          <w:highlight w:val="none"/>
        </w:rPr>
        <w:t>文件中有专门标注的某关联点，并要求供应商在电子投标系统中作出响应的，如供应商未对关联点进行响应或者在响应文件其它内容进行描述，造成电子评审不能查询的责任由供应商自行承担。</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14.响应文件的语言及计量</w:t>
      </w:r>
    </w:p>
    <w:p>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14.1响应文件以及竞标方与招标方就有关竞标事宜的所有来往函电，均应以中文汉语书写。除签名、盖章、专用名称等特殊情形外，以中文汉语以外的文字表述的响应文件视同未提供。</w:t>
      </w:r>
    </w:p>
    <w:p>
      <w:pPr>
        <w:snapToGrid w:val="0"/>
        <w:spacing w:line="440" w:lineRule="exact"/>
        <w:jc w:val="left"/>
        <w:rPr>
          <w:rFonts w:ascii="宋体" w:hAnsi="宋体" w:cs="宋体"/>
          <w:color w:val="auto"/>
          <w:szCs w:val="21"/>
          <w:highlight w:val="none"/>
        </w:rPr>
      </w:pPr>
      <w:r>
        <w:rPr>
          <w:rFonts w:hint="eastAsia" w:ascii="宋体" w:hAnsi="宋体" w:cs="宋体"/>
          <w:color w:val="auto"/>
          <w:szCs w:val="21"/>
          <w:highlight w:val="none"/>
        </w:rPr>
        <w:t>14.2竞标计量单位，磋商文件已有明确规定的，使用磋商文件规定的计量单位；磋商文件没有规定的，应采用中华人民共和国法定计量单位（货币单位：人民币元），否则视同未响应。</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15、响应文件报价要求</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15.1本项目最高限价详见须知前附表。响应文件</w:t>
      </w:r>
      <w:r>
        <w:rPr>
          <w:rFonts w:hint="eastAsia" w:ascii="宋体" w:hAnsi="宋体" w:cs="宋体"/>
          <w:color w:val="auto"/>
          <w:highlight w:val="none"/>
        </w:rPr>
        <w:t>报价须小于等于最高限价，否则响应无效。</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15.2对于本磋商采购文件中未列明，而供应商认为必需的费用也需列入总报价。在合同实施时，采购人将不予支付成交供应商没有列入的项目费用，并认为此项目的费用已包括在总报价中。</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15.3成交供应商负责本项目所需服务的全部工作，包含完成本项目所需的人力成本（含人员工资、福利、各种保险）、交通、设备费、场地使用费、材料费、验收费、利润、税金等一切可能发生的费用。</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15.4供应商应就第三章《项目采购需求》中的全部服务内容作完整唯一报价。</w:t>
      </w:r>
    </w:p>
    <w:p>
      <w:pPr>
        <w:spacing w:line="440" w:lineRule="exact"/>
        <w:ind w:left="420" w:hanging="420"/>
        <w:rPr>
          <w:rFonts w:ascii="宋体" w:hAnsi="宋体" w:cs="宋体"/>
          <w:color w:val="auto"/>
          <w:szCs w:val="21"/>
          <w:highlight w:val="none"/>
        </w:rPr>
      </w:pPr>
      <w:r>
        <w:rPr>
          <w:rFonts w:hint="eastAsia" w:ascii="宋体" w:hAnsi="宋体" w:cs="宋体"/>
          <w:color w:val="auto"/>
          <w:szCs w:val="21"/>
          <w:highlight w:val="none"/>
        </w:rPr>
        <w:t>15.5响应文件只允许有一个报价，有选择的或有条件的报价将不予接受（磋商文件另有规定的除外）。</w:t>
      </w:r>
    </w:p>
    <w:p>
      <w:pPr>
        <w:spacing w:line="440" w:lineRule="exact"/>
        <w:rPr>
          <w:rFonts w:ascii="宋体" w:hAnsi="宋体" w:cs="宋体"/>
          <w:color w:val="auto"/>
          <w:highlight w:val="none"/>
        </w:rPr>
      </w:pPr>
      <w:r>
        <w:rPr>
          <w:rFonts w:hint="eastAsia" w:ascii="宋体" w:hAnsi="宋体" w:cs="宋体"/>
          <w:color w:val="auto"/>
          <w:szCs w:val="21"/>
          <w:highlight w:val="none"/>
        </w:rPr>
        <w:t>15.6</w:t>
      </w:r>
      <w:r>
        <w:rPr>
          <w:rFonts w:hint="eastAsia" w:ascii="宋体" w:hAnsi="宋体" w:cs="宋体"/>
          <w:color w:val="auto"/>
          <w:highlight w:val="none"/>
        </w:rPr>
        <w:t>供应商应在响应文件报价表上标明单价和总价。响应文件的大写金额和小写金额不一致的，以大写金额为准；总价金额与按单价汇总金额不一致的，以单价金额计算结果为准；单价金额小数点有明显错位的，应以总价为准，并修改单价。对不同文字文本竞争性磋商响应文件的解释发生异议的，以中文文本为准。除上述原因以外，如果因供应商原因引起的报价失误，并在磋商时被接受，其后果由供应商自负。</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16、响应文件有效期</w:t>
      </w:r>
    </w:p>
    <w:p>
      <w:pPr>
        <w:spacing w:line="440" w:lineRule="exact"/>
        <w:ind w:left="420" w:hanging="420"/>
        <w:rPr>
          <w:rFonts w:ascii="宋体" w:hAnsi="宋体" w:cs="宋体"/>
          <w:color w:val="auto"/>
          <w:highlight w:val="none"/>
        </w:rPr>
      </w:pPr>
      <w:r>
        <w:rPr>
          <w:rFonts w:hint="eastAsia" w:ascii="宋体" w:hAnsi="宋体" w:cs="宋体"/>
          <w:color w:val="auto"/>
          <w:highlight w:val="none"/>
        </w:rPr>
        <w:t>16.1响应文件有效期：详见供应商须知前附表。有效期不足的响应文件将被拒绝。</w:t>
      </w:r>
    </w:p>
    <w:p>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16.2在特殊情况下，采购人可与供应商协商延长响应文件的有效期，这种要求和答复均以书面形式进行。</w:t>
      </w:r>
    </w:p>
    <w:p>
      <w:pPr>
        <w:pStyle w:val="23"/>
        <w:snapToGrid w:val="0"/>
        <w:spacing w:line="440" w:lineRule="exact"/>
        <w:jc w:val="left"/>
        <w:rPr>
          <w:rFonts w:hAnsi="宋体" w:cs="宋体"/>
          <w:color w:val="auto"/>
          <w:kern w:val="2"/>
          <w:sz w:val="21"/>
          <w:szCs w:val="24"/>
          <w:highlight w:val="none"/>
        </w:rPr>
      </w:pPr>
      <w:r>
        <w:rPr>
          <w:rFonts w:hint="eastAsia" w:hAnsi="宋体" w:cs="宋体"/>
          <w:color w:val="auto"/>
          <w:kern w:val="2"/>
          <w:sz w:val="21"/>
          <w:szCs w:val="24"/>
          <w:highlight w:val="none"/>
        </w:rPr>
        <w:t>16.3供应商可拒绝接受延长有效期要求而不会导致磋商保证金被没收。同意延长有效期的供应商需要相应延长磋商保证金的有效期，但不能修改响应文件其它内容。</w:t>
      </w:r>
    </w:p>
    <w:p>
      <w:pPr>
        <w:spacing w:line="440" w:lineRule="exact"/>
        <w:ind w:left="420" w:hanging="420"/>
        <w:rPr>
          <w:rFonts w:ascii="宋体" w:hAnsi="宋体" w:cs="宋体"/>
          <w:color w:val="auto"/>
          <w:highlight w:val="none"/>
        </w:rPr>
      </w:pPr>
      <w:r>
        <w:rPr>
          <w:rFonts w:hint="eastAsia" w:ascii="宋体" w:hAnsi="宋体" w:cs="宋体"/>
          <w:color w:val="auto"/>
          <w:szCs w:val="21"/>
          <w:highlight w:val="none"/>
        </w:rPr>
        <w:t>16.4</w:t>
      </w:r>
      <w:r>
        <w:rPr>
          <w:rFonts w:hint="eastAsia" w:ascii="宋体" w:hAnsi="宋体" w:cs="宋体"/>
          <w:color w:val="auto"/>
          <w:highlight w:val="none"/>
        </w:rPr>
        <w:t>供应商的响应文件自开标之日起至合同履行完毕止均应保持有效。</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17、磋商保证金</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17.1磋商保证金金额：详见供应商须知前附表。磋商保证金应在响应文件有效期内保持有效。</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17.2供应商须按规定于竞标截止前足额提交磋商保证金，</w:t>
      </w:r>
      <w:r>
        <w:rPr>
          <w:rFonts w:hint="eastAsia" w:ascii="宋体" w:hAnsi="宋体" w:cs="宋体"/>
          <w:b/>
          <w:color w:val="auto"/>
          <w:kern w:val="0"/>
          <w:szCs w:val="21"/>
          <w:highlight w:val="none"/>
        </w:rPr>
        <w:t>否则，其响应无效。</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17.3磋商保证金交纳形式：</w:t>
      </w:r>
      <w:r>
        <w:rPr>
          <w:rFonts w:hint="eastAsia" w:ascii="宋体" w:hAnsi="宋体" w:cs="宋体"/>
          <w:color w:val="auto"/>
          <w:highlight w:val="none"/>
        </w:rPr>
        <w:t>转账、电汇、网上银行、支票、汇票、本票或者银行、保险机构出具的保函，禁止采用现钞方式。</w:t>
      </w:r>
    </w:p>
    <w:p>
      <w:pPr>
        <w:snapToGrid w:val="0"/>
        <w:spacing w:line="440" w:lineRule="exact"/>
        <w:ind w:firstLine="420" w:firstLineChars="200"/>
        <w:jc w:val="left"/>
        <w:rPr>
          <w:rFonts w:ascii="宋体" w:hAnsi="宋体" w:cs="宋体"/>
          <w:color w:val="auto"/>
          <w:kern w:val="0"/>
          <w:szCs w:val="21"/>
          <w:highlight w:val="none"/>
        </w:rPr>
      </w:pPr>
      <w:r>
        <w:rPr>
          <w:rFonts w:hint="eastAsia" w:ascii="宋体" w:hAnsi="宋体" w:cs="宋体"/>
          <w:color w:val="auto"/>
          <w:highlight w:val="none"/>
        </w:rPr>
        <w:t>采用转账、电汇、网上银行方式的，在首次提交响应文件截止时间前交至</w:t>
      </w:r>
      <w:r>
        <w:rPr>
          <w:rFonts w:hint="eastAsia" w:ascii="宋体" w:hAnsi="宋体" w:cs="宋体"/>
          <w:b/>
          <w:bCs/>
          <w:color w:val="auto"/>
          <w:kern w:val="0"/>
          <w:szCs w:val="21"/>
          <w:highlight w:val="none"/>
        </w:rPr>
        <w:t>开户银行：</w:t>
      </w:r>
      <w:r>
        <w:rPr>
          <w:rFonts w:hint="eastAsia" w:ascii="宋体" w:hAnsi="宋体" w:cs="宋体"/>
          <w:b/>
          <w:bCs/>
          <w:color w:val="auto"/>
          <w:kern w:val="0"/>
          <w:szCs w:val="21"/>
          <w:highlight w:val="none"/>
          <w:u w:val="single"/>
        </w:rPr>
        <w:t>中国银行柳州市八一支行</w:t>
      </w:r>
      <w:r>
        <w:rPr>
          <w:rFonts w:hint="eastAsia" w:ascii="宋体" w:hAnsi="宋体" w:cs="宋体"/>
          <w:b/>
          <w:bCs/>
          <w:color w:val="auto"/>
          <w:kern w:val="0"/>
          <w:szCs w:val="21"/>
          <w:highlight w:val="none"/>
        </w:rPr>
        <w:t>，开户名称：</w:t>
      </w:r>
      <w:r>
        <w:rPr>
          <w:rFonts w:hint="eastAsia" w:ascii="宋体" w:hAnsi="宋体" w:cs="宋体"/>
          <w:b/>
          <w:bCs/>
          <w:color w:val="auto"/>
          <w:kern w:val="0"/>
          <w:szCs w:val="21"/>
          <w:highlight w:val="none"/>
          <w:u w:val="single"/>
        </w:rPr>
        <w:t>广西德元工程项目管理有限责任公司，银行账号：6158 6557 4841</w:t>
      </w:r>
      <w:r>
        <w:rPr>
          <w:rFonts w:hint="eastAsia" w:ascii="宋体" w:hAnsi="宋体" w:cs="宋体"/>
          <w:color w:val="auto"/>
          <w:kern w:val="0"/>
          <w:szCs w:val="21"/>
          <w:highlight w:val="none"/>
        </w:rPr>
        <w:t>。</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采用转账、电汇、网上银行方式的，由供应商按上条中明确的全称、</w:t>
      </w:r>
      <w:r>
        <w:rPr>
          <w:rFonts w:hint="eastAsia" w:hAnsi="宋体" w:cs="宋体"/>
          <w:color w:val="auto"/>
          <w:sz w:val="21"/>
          <w:highlight w:val="none"/>
          <w:lang w:eastAsia="zh-CN"/>
        </w:rPr>
        <w:t>账号</w:t>
      </w:r>
      <w:r>
        <w:rPr>
          <w:rFonts w:hint="eastAsia" w:hAnsi="宋体" w:cs="宋体"/>
          <w:color w:val="auto"/>
          <w:sz w:val="21"/>
          <w:highlight w:val="none"/>
        </w:rPr>
        <w:t>、开户行，在保证金规定递交时间内转入（汇入）广西德元工程项目管理有限责任公司保证金专户上，并将银行转账底单的复印件作为磋商保证金提交凭证，放置于响应文件中，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。若广西德元工程项目管理有限责任公司保证金专户在保证金规定递交时间内没有收到供应商足额交纳的磋商保证金，</w:t>
      </w:r>
      <w:r>
        <w:rPr>
          <w:rFonts w:hint="eastAsia" w:hAnsi="宋体" w:cs="宋体"/>
          <w:b/>
          <w:color w:val="auto"/>
          <w:sz w:val="21"/>
          <w:highlight w:val="none"/>
        </w:rPr>
        <w:t>其响应无效</w:t>
      </w:r>
      <w:r>
        <w:rPr>
          <w:rFonts w:hint="eastAsia" w:hAnsi="宋体" w:cs="宋体"/>
          <w:color w:val="auto"/>
          <w:sz w:val="21"/>
          <w:highlight w:val="none"/>
        </w:rPr>
        <w:t>；因此供应商在缴纳磋商保证金时应充分考虑保证金到达本公司保证金专户上的时间，以免影响竞标。办理磋商保证金手续时，请务必在银行进帐单的用途或空白栏上注明招标项目名称或采购编号</w:t>
      </w:r>
      <w:r>
        <w:rPr>
          <w:rFonts w:hint="eastAsia" w:hAnsi="宋体" w:cs="宋体"/>
          <w:b/>
          <w:color w:val="auto"/>
          <w:sz w:val="21"/>
          <w:highlight w:val="none"/>
        </w:rPr>
        <w:t>，如遇受字符限制的情况，项目名称可简写。</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采用支票、汇票、本票或银行、保险机构出具的保函交纳方式的，供应商应将支票、汇票、本票或银行、保险机构出具的保函的复印件作为磋商保证金提交凭证，放置于响应文件中</w:t>
      </w:r>
      <w:r>
        <w:rPr>
          <w:rFonts w:hint="eastAsia" w:hAnsi="宋体" w:cs="宋体"/>
          <w:b/>
          <w:color w:val="auto"/>
          <w:sz w:val="21"/>
          <w:highlight w:val="none"/>
        </w:rPr>
        <w:t>，否则其响应无效</w:t>
      </w:r>
      <w:r>
        <w:rPr>
          <w:rFonts w:hint="eastAsia" w:hAnsi="宋体" w:cs="宋体"/>
          <w:color w:val="auto"/>
          <w:sz w:val="21"/>
          <w:highlight w:val="none"/>
        </w:rPr>
        <w:t>。并于首次提交响应文件截止时间前，递交支票、汇票、本票或银行、保险机构出具的保函原件；原件递交的形式可以是在线下开标现场递交密封好的原件（原件放入一个密封袋中，并在封口处加盖供应商公章或委托代理人签字，以示密封，在封套上标记“项目名称（项目编号）磋商保证金”字样），也可以以邮寄方式递交原件（邮寄地址及收件人详见磋商公告采购代理机构信息）；若广西德元工程项目管理有限责任公司在保证金规定递交时间内没有收到上述原件的，</w:t>
      </w:r>
      <w:r>
        <w:rPr>
          <w:rFonts w:hint="eastAsia" w:hAnsi="宋体" w:cs="宋体"/>
          <w:b/>
          <w:color w:val="auto"/>
          <w:sz w:val="21"/>
          <w:highlight w:val="none"/>
        </w:rPr>
        <w:t>其响应无效</w:t>
      </w:r>
      <w:r>
        <w:rPr>
          <w:rFonts w:hint="eastAsia" w:hAnsi="宋体" w:cs="宋体"/>
          <w:color w:val="auto"/>
          <w:sz w:val="21"/>
          <w:highlight w:val="none"/>
        </w:rPr>
        <w:t>；因此供应商无论采用现场或者是邮寄递交上述原件时应充分考虑到达时间，以免影响竞标。</w:t>
      </w:r>
    </w:p>
    <w:p>
      <w:pPr>
        <w:pStyle w:val="23"/>
        <w:spacing w:line="440" w:lineRule="exact"/>
        <w:rPr>
          <w:rFonts w:hAnsi="宋体" w:cs="宋体"/>
          <w:color w:val="auto"/>
          <w:sz w:val="21"/>
          <w:highlight w:val="none"/>
        </w:rPr>
      </w:pPr>
      <w:r>
        <w:rPr>
          <w:rFonts w:hint="eastAsia" w:hAnsi="宋体" w:cs="宋体"/>
          <w:color w:val="auto"/>
          <w:sz w:val="21"/>
          <w:highlight w:val="none"/>
        </w:rPr>
        <w:t>17.4</w:t>
      </w:r>
      <w:r>
        <w:rPr>
          <w:rFonts w:hint="eastAsia" w:hAnsi="宋体" w:cs="宋体"/>
          <w:b/>
          <w:color w:val="auto"/>
          <w:spacing w:val="-2"/>
          <w:sz w:val="21"/>
          <w:highlight w:val="none"/>
        </w:rPr>
        <w:t>首次提交响应文件截止时间后提交的，或未足额交纳的，或保函额度不足的，视为无效磋商保证金</w:t>
      </w:r>
      <w:r>
        <w:rPr>
          <w:rFonts w:hint="eastAsia" w:hAnsi="宋体" w:cs="宋体"/>
          <w:b/>
          <w:color w:val="auto"/>
          <w:sz w:val="21"/>
          <w:highlight w:val="none"/>
        </w:rPr>
        <w:t>。</w:t>
      </w:r>
    </w:p>
    <w:p>
      <w:pPr>
        <w:pStyle w:val="23"/>
        <w:spacing w:line="440" w:lineRule="exact"/>
        <w:rPr>
          <w:rFonts w:hAnsi="宋体" w:cs="宋体"/>
          <w:color w:val="auto"/>
          <w:sz w:val="21"/>
          <w:highlight w:val="none"/>
        </w:rPr>
      </w:pPr>
      <w:r>
        <w:rPr>
          <w:rFonts w:hint="eastAsia" w:hAnsi="宋体" w:cs="宋体"/>
          <w:color w:val="auto"/>
          <w:sz w:val="21"/>
          <w:highlight w:val="none"/>
        </w:rPr>
        <w:t>17.5</w:t>
      </w:r>
      <w:r>
        <w:rPr>
          <w:rFonts w:hint="eastAsia" w:hAnsi="宋体" w:cs="宋体"/>
          <w:b/>
          <w:color w:val="auto"/>
          <w:sz w:val="21"/>
          <w:highlight w:val="none"/>
        </w:rPr>
        <w:t>供应商采用现钞方式或从个人账户（个体工商户及自然人竞标除外）转出的磋商保证金，视为无效磋商保证金。</w:t>
      </w:r>
    </w:p>
    <w:p>
      <w:pPr>
        <w:pStyle w:val="23"/>
        <w:spacing w:line="440" w:lineRule="exact"/>
        <w:rPr>
          <w:rFonts w:hAnsi="宋体" w:cs="宋体"/>
          <w:color w:val="auto"/>
          <w:sz w:val="21"/>
          <w:highlight w:val="none"/>
        </w:rPr>
      </w:pPr>
      <w:r>
        <w:rPr>
          <w:rFonts w:hint="eastAsia" w:hAnsi="宋体" w:cs="宋体"/>
          <w:color w:val="auto"/>
          <w:sz w:val="21"/>
          <w:highlight w:val="none"/>
        </w:rPr>
        <w:t>17.6</w:t>
      </w:r>
      <w:r>
        <w:rPr>
          <w:rFonts w:hint="eastAsia" w:hAnsi="宋体" w:cs="宋体"/>
          <w:b/>
          <w:color w:val="auto"/>
          <w:sz w:val="21"/>
          <w:highlight w:val="none"/>
        </w:rPr>
        <w:t>支票、汇票、本票出现背书情形，或者有条件支付的，或者支票、汇票、本票无效的，视为无效磋商保证金。</w:t>
      </w:r>
    </w:p>
    <w:p>
      <w:pPr>
        <w:pStyle w:val="23"/>
        <w:spacing w:line="440" w:lineRule="exact"/>
        <w:rPr>
          <w:rFonts w:hAnsi="宋体" w:cs="宋体"/>
          <w:color w:val="auto"/>
          <w:sz w:val="21"/>
          <w:highlight w:val="none"/>
        </w:rPr>
      </w:pPr>
      <w:r>
        <w:rPr>
          <w:rFonts w:hint="eastAsia" w:hAnsi="宋体" w:cs="宋体"/>
          <w:color w:val="auto"/>
          <w:sz w:val="21"/>
          <w:highlight w:val="none"/>
        </w:rPr>
        <w:t>17.7</w:t>
      </w:r>
      <w:r>
        <w:rPr>
          <w:rFonts w:hint="eastAsia" w:hAnsi="宋体" w:cs="宋体"/>
          <w:b/>
          <w:color w:val="auto"/>
          <w:sz w:val="21"/>
          <w:highlight w:val="none"/>
        </w:rPr>
        <w:t>保函有效期低于响应文件有效期的，视为无效磋商保证金。</w:t>
      </w:r>
    </w:p>
    <w:p>
      <w:pPr>
        <w:pStyle w:val="23"/>
        <w:spacing w:line="440" w:lineRule="exact"/>
        <w:rPr>
          <w:rFonts w:hAnsi="宋体" w:cs="宋体"/>
          <w:b/>
          <w:color w:val="auto"/>
          <w:kern w:val="2"/>
          <w:sz w:val="21"/>
          <w:highlight w:val="none"/>
        </w:rPr>
      </w:pPr>
      <w:r>
        <w:rPr>
          <w:rFonts w:hint="eastAsia" w:hAnsi="宋体" w:cs="宋体"/>
          <w:color w:val="auto"/>
          <w:sz w:val="21"/>
          <w:highlight w:val="none"/>
        </w:rPr>
        <w:t>17.8</w:t>
      </w:r>
      <w:r>
        <w:rPr>
          <w:rFonts w:hint="eastAsia" w:hAnsi="宋体" w:cs="宋体"/>
          <w:b/>
          <w:color w:val="auto"/>
          <w:sz w:val="21"/>
          <w:highlight w:val="none"/>
        </w:rPr>
        <w:t>磋商保证金采用金融机构、担保机构出具的保函为有条件保函的，视为无效磋商保证金。</w:t>
      </w:r>
    </w:p>
    <w:p>
      <w:pPr>
        <w:pStyle w:val="23"/>
        <w:spacing w:line="440" w:lineRule="exact"/>
        <w:rPr>
          <w:rFonts w:hAnsi="宋体" w:cs="宋体"/>
          <w:color w:val="auto"/>
          <w:sz w:val="21"/>
          <w:highlight w:val="none"/>
        </w:rPr>
      </w:pPr>
      <w:r>
        <w:rPr>
          <w:rFonts w:hint="eastAsia" w:hAnsi="宋体" w:cs="宋体"/>
          <w:color w:val="auto"/>
          <w:sz w:val="21"/>
          <w:highlight w:val="none"/>
        </w:rPr>
        <w:t>17.9磋商保证金的退还</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（1）未成交人的磋商保证金自成交通知书发出之日起4个工作日内退还，退还方式如下：</w:t>
      </w:r>
    </w:p>
    <w:p>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①采用银行转账方式的，以转账方式退回到供应商银行账户。</w:t>
      </w:r>
    </w:p>
    <w:p>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②采用支票、汇票或本票方式的，以转账方式退回到供应商银行账户或由供应商代表持相关授权证明材料至采购人或采购代理机构办理支票、汇票或本票原件退还手续。</w:t>
      </w:r>
    </w:p>
    <w:p>
      <w:pPr>
        <w:snapToGrid w:val="0"/>
        <w:spacing w:line="440" w:lineRule="exact"/>
        <w:ind w:firstLine="630" w:firstLineChars="300"/>
        <w:jc w:val="left"/>
        <w:rPr>
          <w:rFonts w:ascii="宋体" w:hAnsi="宋体" w:cs="宋体"/>
          <w:color w:val="auto"/>
          <w:highlight w:val="none"/>
        </w:rPr>
      </w:pPr>
      <w:r>
        <w:rPr>
          <w:rFonts w:hint="eastAsia" w:ascii="宋体" w:hAnsi="宋体" w:cs="宋体"/>
          <w:color w:val="auto"/>
          <w:highlight w:val="none"/>
        </w:rPr>
        <w:t>③采用银行、保险机构出具的保函方式的，由供应商代表持相关授权证明材料在采购结果公告公布之日起五个工作日内至采购人或采购代理机构办理保函原件退还手续，供应商逾期领取所造成的后果由供应商自行承担。</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（2）成交人应在合同签订之日起2个工作日内向采购代理机构提供</w:t>
      </w:r>
      <w:r>
        <w:rPr>
          <w:rFonts w:hint="eastAsia" w:ascii="宋体" w:hAnsi="宋体" w:cs="宋体"/>
          <w:color w:val="auto"/>
          <w:highlight w:val="none"/>
          <w:u w:val="single"/>
        </w:rPr>
        <w:t>壹</w:t>
      </w:r>
      <w:r>
        <w:rPr>
          <w:rFonts w:hint="eastAsia" w:ascii="宋体" w:hAnsi="宋体" w:cs="宋体"/>
          <w:color w:val="auto"/>
          <w:highlight w:val="none"/>
        </w:rPr>
        <w:t>份合同副本备案。以配合采购代理机构按《关于进一步做好政府采购信息公开有关工作的通知》（桂财采【2016】7号文件第八条）的要求，在财政部门指定媒体上公告合同的主要内容。采购代理机构在合同签订之日起4个工作日退还成交人的投标保证金。对无法在上述要求期限内将合同送达采购代理机构的成交人，采购代理机构须凭成交人出具加盖公章的情况说明才能退还其投标保证金。投标保证金退还方式同未成交人的投标保证金的退还方式。</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（3）磋商保证金不计息。</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17.10供应商有下列情形之一的，磋商保证金将不予退还：</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（1）供应商在响应文件有效期内撤回响应文件的；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（2）未按规定提交履约保证金的；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（3）供应商在竞标过程中弄虚作假，提供虚假材料的；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（4）成交人无正当理由不与采购人签订合同的；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（5）将成交项目转让给他人或者在响应文件中未说明且未经招标采购单位同意，将成交项目分包给他人的；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（6）拒绝履行合同义务的；</w:t>
      </w:r>
    </w:p>
    <w:p>
      <w:pPr>
        <w:snapToGrid w:val="0"/>
        <w:spacing w:line="440" w:lineRule="exact"/>
        <w:ind w:firstLine="420" w:firstLineChars="200"/>
        <w:jc w:val="left"/>
        <w:rPr>
          <w:rFonts w:ascii="宋体" w:hAnsi="宋体" w:cs="宋体"/>
          <w:color w:val="auto"/>
          <w:highlight w:val="none"/>
        </w:rPr>
      </w:pPr>
      <w:r>
        <w:rPr>
          <w:rFonts w:hint="eastAsia" w:ascii="宋体" w:hAnsi="宋体" w:cs="宋体"/>
          <w:color w:val="auto"/>
          <w:highlight w:val="none"/>
        </w:rPr>
        <w:t>（7）其他严重扰乱招竞标程序的；</w:t>
      </w:r>
    </w:p>
    <w:p>
      <w:pPr>
        <w:spacing w:line="440" w:lineRule="exact"/>
        <w:ind w:left="420" w:hanging="420"/>
        <w:rPr>
          <w:rFonts w:ascii="宋体" w:hAnsi="宋体" w:cs="宋体"/>
          <w:b/>
          <w:color w:val="auto"/>
          <w:szCs w:val="21"/>
          <w:highlight w:val="none"/>
        </w:rPr>
      </w:pPr>
      <w:r>
        <w:rPr>
          <w:rFonts w:hint="eastAsia" w:ascii="宋体" w:hAnsi="宋体" w:cs="宋体"/>
          <w:b/>
          <w:color w:val="auto"/>
          <w:szCs w:val="21"/>
          <w:highlight w:val="none"/>
        </w:rPr>
        <w:t>18、</w:t>
      </w:r>
      <w:bookmarkStart w:id="10" w:name="_Toc254970542"/>
      <w:bookmarkStart w:id="11" w:name="_Toc254970683"/>
      <w:r>
        <w:rPr>
          <w:rFonts w:hint="eastAsia" w:ascii="宋体" w:hAnsi="宋体" w:cs="宋体"/>
          <w:b/>
          <w:color w:val="auto"/>
          <w:szCs w:val="21"/>
          <w:highlight w:val="none"/>
        </w:rPr>
        <w:t>响应文件的</w:t>
      </w:r>
      <w:bookmarkEnd w:id="10"/>
      <w:bookmarkEnd w:id="11"/>
      <w:r>
        <w:rPr>
          <w:rFonts w:hint="eastAsia" w:ascii="宋体" w:hAnsi="宋体" w:cs="宋体"/>
          <w:b/>
          <w:color w:val="auto"/>
          <w:szCs w:val="21"/>
          <w:highlight w:val="none"/>
        </w:rPr>
        <w:t>编制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18.1供应商应按本竞争性磋商采购文件规定的格式和顺序编制、装订响应文件并标注页码，响应文件内容不完整、编排混乱导致响应文件被误读、漏读或者查找不到相关内容的，所引起的后果由供应商负责。</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18.2响应文件应按资格证明、报价分别编制，商务技术文件合并编制，本磋商只接受电子版响应文件。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18.3响应文件电子版要求：按照本采购文件“第四章响应文件格式”编写（第四章未附格式的，由供应商自行拟定），并在规定加盖公章处加盖电子公章，否则响应文件按无效响应处理。</w:t>
      </w:r>
      <w:r>
        <w:rPr>
          <w:rFonts w:hint="eastAsia" w:ascii="宋体" w:hAnsi="宋体" w:cs="宋体"/>
          <w:color w:val="auto"/>
          <w:kern w:val="0"/>
          <w:szCs w:val="21"/>
          <w:highlight w:val="none"/>
        </w:rPr>
        <w:t>骑缝盖</w:t>
      </w:r>
      <w:r>
        <w:rPr>
          <w:rFonts w:hint="eastAsia" w:ascii="宋体" w:hAnsi="宋体" w:cs="宋体"/>
          <w:color w:val="auto"/>
          <w:highlight w:val="none"/>
        </w:rPr>
        <w:t>公章不视为在规定位置盖章。</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18.5</w:t>
      </w:r>
      <w:r>
        <w:rPr>
          <w:rFonts w:hint="eastAsia" w:ascii="宋体" w:hAnsi="宋体" w:cs="宋体"/>
          <w:color w:val="auto"/>
          <w:kern w:val="0"/>
          <w:szCs w:val="21"/>
          <w:highlight w:val="none"/>
        </w:rPr>
        <w:t>响应文件应避免涂改、行间插字或者删除，否则其响应文件按无效响应处理。</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18.6供应商进行电子交易应安装客户端软件—“广西政府采购云平台电子交易客户端”，并按照磋商文件和电子交易平台的要求编制并加密响应文件。供应商未按规定加密的响应文件，电子交易平台将拒收并提示。</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18.7使用“广西政府采购云平台电子交易客户端”需要提前申领CA数字证书，申领流程见该项目采购公告附件。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18.8为确保网上操作合法、有效和安全，供应商应当在响应文件提交截止时间前完成在“政府采购云平台”的身份认证，确保在电子交易过程中能够对相关数据电文进行加密和使用电子签名。</w:t>
      </w:r>
    </w:p>
    <w:p>
      <w:pPr>
        <w:spacing w:line="440" w:lineRule="exact"/>
        <w:rPr>
          <w:rFonts w:ascii="宋体" w:hAnsi="宋体" w:cs="宋体"/>
          <w:b/>
          <w:color w:val="auto"/>
          <w:szCs w:val="21"/>
          <w:highlight w:val="none"/>
        </w:rPr>
      </w:pPr>
      <w:r>
        <w:rPr>
          <w:rFonts w:hint="eastAsia" w:ascii="宋体" w:hAnsi="宋体" w:cs="宋体"/>
          <w:b/>
          <w:color w:val="auto"/>
          <w:highlight w:val="none"/>
        </w:rPr>
        <w:t>19.</w:t>
      </w:r>
      <w:r>
        <w:rPr>
          <w:rFonts w:hint="eastAsia" w:ascii="宋体" w:hAnsi="宋体" w:cs="宋体"/>
          <w:b/>
          <w:color w:val="auto"/>
          <w:szCs w:val="21"/>
          <w:highlight w:val="none"/>
        </w:rPr>
        <w:t>响应文件的递交</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19.1供应商必须在“供应商须知前附表”规定的响应文件接收时间和地点提交电子版响应文件。电子响应文件应在制作完成后，在提交截止时间前通过有效数字证书（CA认证锁）进行电子签章、加密，然后通过网络将加密的电子响应文件递交至“广西政府采购云平台”。</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19.2未在规定时间内提交或者未按照磋商文件要求密封或者标记的电子响应文件，广西政府采购云平台将拒收。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19.3电子版响应文件提交方式见“磋商公告”中“四、提交响应文件截止时间、开标时间和地点”。</w:t>
      </w:r>
    </w:p>
    <w:p>
      <w:pPr>
        <w:snapToGrid w:val="0"/>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20.响应文件的补充、修改、撤回与退回</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20.1供应商应当在首次提交响应文件截止时间前完成响应文件的传输递交，并可以补充、修改或者撤回响应文件。补充或者修改响应文件的，应当先行撤回原文件，补充、修改后重新传输递交。提交响应文件截止时间前未完成传输的，视为撤回响应文件。提交响应文件截止时间后递交的响应文件，广西政府采购云平台平台将拒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20.2广西政府采购云平台收到响应文件，将妥善保存并即时向供应商发出确认回执通知。在提交响应文件截止时间前，除供应商补充、修改或者撤回响应文件外，任何单位和个人不得解密或提取响应文件。</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20.3在提交响应文件截止时间止提交电子版响应文件的供应商不足3家时，电子版响应文件由代理机构在广西政府采购云平台操作退回，除此之外采购人和采购代理机构对已提交的响应文件概不退回。</w:t>
      </w:r>
    </w:p>
    <w:p>
      <w:pPr>
        <w:tabs>
          <w:tab w:val="left" w:pos="3600"/>
        </w:tabs>
        <w:spacing w:line="440" w:lineRule="exact"/>
        <w:rPr>
          <w:rFonts w:ascii="宋体" w:hAnsi="宋体" w:cs="宋体"/>
          <w:b/>
          <w:color w:val="auto"/>
          <w:szCs w:val="21"/>
          <w:highlight w:val="none"/>
        </w:rPr>
      </w:pPr>
      <w:bookmarkStart w:id="12" w:name="_Toc495351941"/>
      <w:bookmarkStart w:id="13" w:name="_Toc445223680"/>
      <w:bookmarkStart w:id="14" w:name="_Toc293863320"/>
      <w:bookmarkStart w:id="15" w:name="_Toc254970685"/>
      <w:bookmarkStart w:id="16" w:name="_Toc293863053"/>
      <w:bookmarkStart w:id="17" w:name="_Toc495388768"/>
      <w:bookmarkStart w:id="18" w:name="_Toc448421142"/>
      <w:bookmarkStart w:id="19" w:name="_Toc400465713"/>
      <w:bookmarkStart w:id="20" w:name="_Toc254970544"/>
      <w:bookmarkStart w:id="21" w:name="_Toc495388445"/>
      <w:bookmarkStart w:id="22" w:name="_Toc482865322"/>
      <w:bookmarkStart w:id="23" w:name="_Toc308018677"/>
      <w:bookmarkStart w:id="24" w:name="_Toc482864551"/>
      <w:bookmarkStart w:id="25" w:name="_Toc483327811"/>
      <w:bookmarkStart w:id="26" w:name="_Toc482865152"/>
      <w:r>
        <w:rPr>
          <w:rFonts w:hint="eastAsia" w:ascii="宋体" w:hAnsi="宋体" w:cs="宋体"/>
          <w:b/>
          <w:color w:val="auto"/>
          <w:szCs w:val="21"/>
          <w:highlight w:val="none"/>
        </w:rPr>
        <w:t>四、</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hint="eastAsia" w:ascii="宋体" w:hAnsi="宋体" w:cs="宋体"/>
          <w:b/>
          <w:color w:val="auto"/>
          <w:szCs w:val="21"/>
          <w:highlight w:val="none"/>
        </w:rPr>
        <w:t>评审及磋商</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21.磋商小组成立</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21.1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21.2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22.首次响应文件的开启</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22.1首次响应文件由磋商小组或者采购代理机构在“供应商须知前附表”规定的时间开启。</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23.响应文件解密</w:t>
      </w:r>
    </w:p>
    <w:p>
      <w:pPr>
        <w:snapToGrid w:val="0"/>
        <w:spacing w:line="440" w:lineRule="exact"/>
        <w:jc w:val="left"/>
        <w:rPr>
          <w:rFonts w:ascii="宋体" w:hAnsi="宋体" w:cs="宋体"/>
          <w:bCs/>
          <w:color w:val="auto"/>
          <w:highlight w:val="none"/>
        </w:rPr>
      </w:pPr>
      <w:r>
        <w:rPr>
          <w:rFonts w:hint="eastAsia" w:ascii="宋体" w:hAnsi="宋体" w:cs="宋体"/>
          <w:color w:val="auto"/>
          <w:highlight w:val="none"/>
        </w:rPr>
        <w:t>23.1采购代理机构将在“供应商须知前附表”规定的时间通过电子交易平台组织响应文件开启采购机构依托电子交易平台发起开始解密指令，供应商的法定代表人或其委托代理人须携带加密时所用的CA锁按平台提示和采购文件的规定登录到广西政府采购云平台电子开标大厅签到并在发起解密指令之时起30分钟内完成对电子响应文件在线解密。发起解密指令之时起5分钟内供应商还未进行解密的，代理机构通知供应商，</w:t>
      </w:r>
      <w:r>
        <w:rPr>
          <w:rFonts w:hint="eastAsia" w:ascii="宋体" w:hAnsi="宋体" w:cs="宋体"/>
          <w:bCs/>
          <w:color w:val="auto"/>
          <w:highlight w:val="none"/>
        </w:rPr>
        <w:t>通知后，</w:t>
      </w:r>
      <w:r>
        <w:rPr>
          <w:rFonts w:hint="eastAsia" w:ascii="宋体" w:hAnsi="宋体" w:cs="宋体"/>
          <w:color w:val="auto"/>
          <w:highlight w:val="none"/>
        </w:rPr>
        <w:t>响应</w:t>
      </w:r>
      <w:r>
        <w:rPr>
          <w:rFonts w:hint="eastAsia" w:ascii="宋体" w:hAnsi="宋体" w:cs="宋体"/>
          <w:bCs/>
          <w:color w:val="auto"/>
          <w:highlight w:val="none"/>
        </w:rPr>
        <w:t>文件仍未按时解密，或者</w:t>
      </w:r>
      <w:r>
        <w:rPr>
          <w:rFonts w:hint="eastAsia" w:ascii="宋体" w:hAnsi="宋体" w:cs="宋体"/>
          <w:color w:val="auto"/>
          <w:highlight w:val="none"/>
        </w:rPr>
        <w:t>供应商</w:t>
      </w:r>
      <w:r>
        <w:rPr>
          <w:rFonts w:hint="eastAsia" w:ascii="宋体" w:hAnsi="宋体" w:cs="宋体"/>
          <w:bCs/>
          <w:color w:val="auto"/>
          <w:highlight w:val="none"/>
        </w:rPr>
        <w:t>没预留联系方式或预留联系方式无效，</w:t>
      </w:r>
      <w:r>
        <w:rPr>
          <w:rFonts w:hint="eastAsia" w:ascii="宋体" w:hAnsi="宋体" w:cs="宋体"/>
          <w:color w:val="auto"/>
          <w:highlight w:val="none"/>
        </w:rPr>
        <w:t>非代理机构原因导致代理机构无法联系到供应商进行解密的</w:t>
      </w:r>
      <w:r>
        <w:rPr>
          <w:rFonts w:hint="eastAsia" w:ascii="宋体" w:hAnsi="宋体" w:cs="宋体"/>
          <w:bCs/>
          <w:color w:val="auto"/>
          <w:highlight w:val="none"/>
        </w:rPr>
        <w:t>，</w:t>
      </w:r>
      <w:r>
        <w:rPr>
          <w:rFonts w:hint="eastAsia" w:ascii="宋体" w:hAnsi="宋体" w:cs="宋体"/>
          <w:color w:val="auto"/>
          <w:highlight w:val="none"/>
        </w:rPr>
        <w:t>视为响应文件无效</w:t>
      </w:r>
      <w:r>
        <w:rPr>
          <w:rFonts w:hint="eastAsia" w:ascii="宋体" w:hAnsi="宋体" w:cs="宋体"/>
          <w:bCs/>
          <w:color w:val="auto"/>
          <w:highlight w:val="none"/>
        </w:rPr>
        <w:t>。</w:t>
      </w:r>
      <w:r>
        <w:rPr>
          <w:rFonts w:hint="eastAsia" w:ascii="宋体" w:hAnsi="宋体" w:cs="宋体"/>
          <w:color w:val="auto"/>
          <w:highlight w:val="none"/>
        </w:rPr>
        <w:t>（解密异常情况处理：详见本章30.电子交易活动的中止。）</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23.2如供应商成功解密响应文件，但未在“广西政府采购云平台”电子开标大厅参加谈判的，视同认可谈判过程和结果，由此产生的后果由供应商自行负责。参与谈判的供应商不足3家的，不得谈判。</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24.评审程序</w:t>
      </w:r>
    </w:p>
    <w:p>
      <w:pPr>
        <w:snapToGrid w:val="0"/>
        <w:spacing w:line="440" w:lineRule="exact"/>
        <w:jc w:val="left"/>
        <w:rPr>
          <w:rFonts w:ascii="宋体" w:hAnsi="宋体" w:cs="宋体"/>
          <w:color w:val="auto"/>
          <w:highlight w:val="none"/>
        </w:rPr>
      </w:pPr>
      <w:r>
        <w:rPr>
          <w:rFonts w:hint="eastAsia" w:ascii="宋体" w:hAnsi="宋体" w:cs="宋体"/>
          <w:color w:val="auto"/>
          <w:highlight w:val="none"/>
        </w:rPr>
        <w:t>24.1磋商小组按照“第六章评审方法和评审标准”规定的方法、评审因素、标准和程序对响应文件进行评审。</w:t>
      </w:r>
    </w:p>
    <w:p>
      <w:pPr>
        <w:spacing w:line="440" w:lineRule="exact"/>
        <w:rPr>
          <w:rFonts w:ascii="宋体" w:hAnsi="宋体" w:cs="宋体"/>
          <w:color w:val="auto"/>
          <w:highlight w:val="none"/>
        </w:rPr>
      </w:pPr>
      <w:r>
        <w:rPr>
          <w:rFonts w:hint="eastAsia" w:ascii="宋体" w:hAnsi="宋体" w:cs="宋体"/>
          <w:color w:val="auto"/>
          <w:highlight w:val="none"/>
        </w:rPr>
        <w:t>24.2</w:t>
      </w:r>
      <w:r>
        <w:rPr>
          <w:rFonts w:hint="eastAsia" w:ascii="宋体" w:hAnsi="宋体" w:cs="宋体"/>
          <w:bCs/>
          <w:color w:val="auto"/>
          <w:szCs w:val="21"/>
          <w:highlight w:val="none"/>
        </w:rPr>
        <w:t>资格审查</w:t>
      </w:r>
    </w:p>
    <w:p>
      <w:pPr>
        <w:snapToGrid w:val="0"/>
        <w:spacing w:line="44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响应文件开启后，磋商小组依法对供应商的资格文件进行审查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在资格审查时，如发现下列情形之一的，响应文件将被视为无效：</w:t>
      </w:r>
    </w:p>
    <w:p>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（1）不具备招标文件中规定的资格要求的；（注：其中信用查询由采购人或采购代理机构于资格审查时</w:t>
      </w:r>
      <w:r>
        <w:rPr>
          <w:rFonts w:hint="eastAsia" w:ascii="宋体" w:hAnsi="宋体" w:cs="宋体"/>
          <w:color w:val="auto"/>
          <w:szCs w:val="21"/>
          <w:highlight w:val="none"/>
        </w:rPr>
        <w:t>在“信用中国”网站和“中国政府采购网”</w:t>
      </w:r>
      <w:r>
        <w:rPr>
          <w:rFonts w:hint="eastAsia" w:ascii="宋体" w:hAnsi="宋体" w:cs="宋体"/>
          <w:bCs/>
          <w:color w:val="auto"/>
          <w:szCs w:val="21"/>
          <w:highlight w:val="none"/>
        </w:rPr>
        <w:t>对供应商进行信用查询，联合体成员存在不良信用记录的视同联合体存在不良信用记录。）</w:t>
      </w:r>
    </w:p>
    <w:p>
      <w:pPr>
        <w:widowControl/>
        <w:spacing w:line="440" w:lineRule="exact"/>
        <w:ind w:firstLine="408"/>
        <w:jc w:val="left"/>
        <w:rPr>
          <w:rFonts w:ascii="宋体" w:hAnsi="宋体" w:cs="宋体"/>
          <w:bCs/>
          <w:color w:val="auto"/>
          <w:szCs w:val="21"/>
          <w:highlight w:val="none"/>
        </w:rPr>
      </w:pPr>
      <w:r>
        <w:rPr>
          <w:rFonts w:hint="eastAsia" w:ascii="宋体" w:hAnsi="宋体" w:cs="宋体"/>
          <w:bCs/>
          <w:color w:val="auto"/>
          <w:szCs w:val="21"/>
          <w:highlight w:val="none"/>
        </w:rPr>
        <w:t>（2）未提供招标文件中“（一）响应文件的组成1.资格证明文件”要求必须提供的资料的；</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（3）法律、法规和招标文件规定的其他无效情形。</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通过资格审查的合格供应商不足3家的，不得进入符合性审查环节，采购人或者采购代理机构应当重新开展采购活动。</w:t>
      </w:r>
    </w:p>
    <w:p>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24.3符合性审查</w:t>
      </w:r>
    </w:p>
    <w:p>
      <w:pPr>
        <w:widowControl/>
        <w:spacing w:line="440" w:lineRule="exact"/>
        <w:ind w:firstLine="420" w:firstLineChars="200"/>
        <w:jc w:val="left"/>
        <w:rPr>
          <w:rFonts w:ascii="宋体" w:hAnsi="宋体" w:cs="宋体"/>
          <w:b/>
          <w:bCs/>
          <w:color w:val="auto"/>
          <w:szCs w:val="21"/>
          <w:highlight w:val="none"/>
        </w:rPr>
      </w:pPr>
      <w:r>
        <w:rPr>
          <w:rFonts w:hint="eastAsia" w:ascii="宋体" w:hAnsi="宋体" w:cs="宋体"/>
          <w:color w:val="auto"/>
          <w:szCs w:val="21"/>
          <w:highlight w:val="none"/>
        </w:rPr>
        <w:t>磋商小组依法对供应商的符合性进行审查</w:t>
      </w:r>
      <w:r>
        <w:rPr>
          <w:rFonts w:hint="eastAsia" w:ascii="宋体" w:hAnsi="宋体" w:cs="宋体"/>
          <w:color w:val="auto"/>
          <w:spacing w:val="-2"/>
          <w:szCs w:val="21"/>
          <w:highlight w:val="none"/>
        </w:rPr>
        <w:t>。</w:t>
      </w:r>
      <w:r>
        <w:rPr>
          <w:rFonts w:hint="eastAsia" w:ascii="宋体" w:hAnsi="宋体" w:cs="宋体"/>
          <w:b/>
          <w:bCs/>
          <w:color w:val="auto"/>
          <w:szCs w:val="21"/>
          <w:highlight w:val="none"/>
        </w:rPr>
        <w:t>在符合性审查时，如发现下列情形之一的，响应文件将被视为无效：</w:t>
      </w:r>
    </w:p>
    <w:p>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（1）未按照招标文件的规定提交磋商保证金的；</w:t>
      </w:r>
    </w:p>
    <w:p>
      <w:pPr>
        <w:widowControl/>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（2）响应文件未按磋商文件要求签署、盖章的；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（3）投标代表人未能出具身份证明或与法定代表人授权委托人身份不符的；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（4）响应文件的实质性内容未使用中文表述、意思表述不明确、前后矛盾或者使用计量单位不符合招标文件要求的（经评标委员会认定并允许其当场更正的笔误除外）</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（5）磋商有效期、服务期或交货期、质保期等商务条款不能满足招标文件要求的；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（6）未实质性响应招标文件要求或者响应文件有招标方不能接受的附加条件的。</w:t>
      </w:r>
    </w:p>
    <w:p>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（7）</w:t>
      </w:r>
      <w:r>
        <w:rPr>
          <w:rFonts w:hint="eastAsia" w:ascii="宋体" w:hAnsi="宋体" w:cs="宋体"/>
          <w:bCs/>
          <w:color w:val="auto"/>
          <w:szCs w:val="21"/>
          <w:highlight w:val="none"/>
        </w:rPr>
        <w:t>未提供招标文件中“（一）响应文件的组成2.商务和技术文件”要求必须提供的资料的；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（8）响应文件标明的响应或偏离与事实不符或虚假竞标的；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（9）明显不符合</w:t>
      </w:r>
      <w:r>
        <w:rPr>
          <w:rFonts w:hint="eastAsia" w:ascii="宋体" w:hAnsi="宋体" w:cs="宋体"/>
          <w:bCs/>
          <w:color w:val="auto"/>
          <w:szCs w:val="21"/>
          <w:highlight w:val="none"/>
        </w:rPr>
        <w:t>竞争性磋商文件</w:t>
      </w:r>
      <w:r>
        <w:rPr>
          <w:rFonts w:hint="eastAsia" w:ascii="宋体" w:hAnsi="宋体" w:cs="宋体"/>
          <w:color w:val="auto"/>
          <w:szCs w:val="21"/>
          <w:highlight w:val="none"/>
        </w:rPr>
        <w:t>要求的质量标准、采购需求，或者与竞争性磋商文件中标“▲”的技术指标、服务需求发生实质性偏离的；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（10）技术方案不明确，存在一个或一个以上备选（替代）竞标方案的。</w:t>
      </w:r>
    </w:p>
    <w:p>
      <w:pPr>
        <w:snapToGrid w:val="0"/>
        <w:spacing w:line="440" w:lineRule="exact"/>
        <w:ind w:firstLine="411" w:firstLineChars="196"/>
        <w:rPr>
          <w:rFonts w:ascii="宋体" w:hAnsi="宋体" w:cs="宋体"/>
          <w:bCs/>
          <w:color w:val="auto"/>
          <w:szCs w:val="21"/>
          <w:highlight w:val="none"/>
        </w:rPr>
      </w:pPr>
      <w:r>
        <w:rPr>
          <w:rFonts w:hint="eastAsia" w:ascii="宋体" w:hAnsi="宋体" w:cs="宋体"/>
          <w:color w:val="auto"/>
          <w:szCs w:val="21"/>
          <w:highlight w:val="none"/>
        </w:rPr>
        <w:t>（11）</w:t>
      </w:r>
      <w:r>
        <w:rPr>
          <w:rFonts w:hint="eastAsia" w:ascii="宋体" w:hAnsi="宋体" w:cs="宋体"/>
          <w:bCs/>
          <w:color w:val="auto"/>
          <w:szCs w:val="21"/>
          <w:highlight w:val="none"/>
        </w:rPr>
        <w:t>未提供招标文件中“（一）响应文件的组成..报价文件”要求必须提供的资料的；</w:t>
      </w:r>
    </w:p>
    <w:p>
      <w:pPr>
        <w:snapToGrid w:val="0"/>
        <w:spacing w:line="44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（12）报价超过招标文件中规定的预算金额或者最高限价的；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（13）未采用人民币报价或者未按照招标文件标明的币种报价的；</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（14）竞标报价具有选择性，或者开标价格与响应文件承诺的优惠（折扣）价格不一致的；</w:t>
      </w:r>
    </w:p>
    <w:p>
      <w:pPr>
        <w:widowControl/>
        <w:spacing w:line="440" w:lineRule="exact"/>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（15）法律、法规和招标文件规定的其他无效情形。</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pPr>
        <w:snapToGrid w:val="0"/>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pPr>
        <w:snapToGrid w:val="0"/>
        <w:spacing w:line="440" w:lineRule="exact"/>
        <w:jc w:val="left"/>
        <w:rPr>
          <w:rFonts w:ascii="宋体" w:hAnsi="宋体" w:cs="宋体"/>
          <w:b/>
          <w:color w:val="auto"/>
          <w:highlight w:val="none"/>
        </w:rPr>
      </w:pPr>
      <w:r>
        <w:rPr>
          <w:rFonts w:hint="eastAsia" w:ascii="宋体" w:hAnsi="宋体" w:cs="宋体"/>
          <w:b/>
          <w:color w:val="auto"/>
          <w:highlight w:val="none"/>
        </w:rPr>
        <w:t>25.磋商程序</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25.1磋商小组按照“供应商须知前附表”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25.3对磋商文件作出的实质性变动是磋商文件的有效组成部分，由磋商小组及时以电子澄清函形式同时通知所有参加磋商的供应商。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25.5磋商中，磋商的任何一方不得透露与磋商有关的其他供应商的技术资料、价格和其他信息。</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25.6磋商小组应对磋商过程和重要磋商内容进行记录，作为评标报告一部分，磋商小组在记录上签字确认。</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25.7磋商过程中重新提交的响应文件，供应商可以在开启前补充、修改。</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25.8对磋商过程提交的响应文件进行有效性、完整性和响应程度审查，通过审查的合格供应商不足3家的，采购人或者采购代理机构应当重新开展采购活动。</w:t>
      </w:r>
    </w:p>
    <w:p>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26.最后报价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26.1磋商文件能够详细列明采购标的的技术、服务要求的，磋商结束后，由磋商小组要求所有继续参加磋商的供应商在规定时间内密封提交最后报价，除本章第26.3条</w:t>
      </w:r>
      <w:r>
        <w:rPr>
          <w:rFonts w:hint="eastAsia" w:ascii="宋体" w:hAnsi="宋体" w:cs="宋体"/>
          <w:color w:val="auto"/>
          <w:highlight w:val="none"/>
        </w:rPr>
        <w:t>以及</w:t>
      </w:r>
      <w:r>
        <w:rPr>
          <w:rFonts w:hint="eastAsia" w:ascii="宋体" w:hAnsi="宋体" w:cs="宋体"/>
          <w:color w:val="auto"/>
          <w:szCs w:val="21"/>
          <w:highlight w:val="none"/>
        </w:rPr>
        <w:t>《财政部关于政府采购竞争性磋商采购方式管理暂行办法有关问题的补充通知》（财库〔2015〕124号）规定外，提交最后报价的供应商不得少于3家，否则必须重新采购。</w:t>
      </w:r>
      <w:r>
        <w:rPr>
          <w:rFonts w:hint="eastAsia" w:ascii="宋体" w:hAnsi="宋体" w:cs="宋体"/>
          <w:color w:val="auto"/>
          <w:kern w:val="0"/>
          <w:szCs w:val="21"/>
          <w:highlight w:val="none"/>
        </w:rPr>
        <w:t>继续参加磋商的供应商</w:t>
      </w:r>
      <w:r>
        <w:rPr>
          <w:rFonts w:hint="eastAsia" w:ascii="宋体" w:hAnsi="宋体" w:cs="宋体"/>
          <w:color w:val="auto"/>
          <w:szCs w:val="21"/>
          <w:highlight w:val="none"/>
        </w:rPr>
        <w:t>作最后报价</w:t>
      </w:r>
      <w:r>
        <w:rPr>
          <w:rFonts w:hint="eastAsia" w:ascii="宋体" w:hAnsi="宋体" w:cs="宋体"/>
          <w:b/>
          <w:color w:val="auto"/>
          <w:szCs w:val="21"/>
          <w:highlight w:val="none"/>
        </w:rPr>
        <w:t>并附相应的最后报价明细表（报价明细表按第四章要求格式填写），最后报价和相应的最后报价明细表须由其法定代表人或授权代表签字或者加盖电子公章</w:t>
      </w:r>
      <w:r>
        <w:rPr>
          <w:rFonts w:hint="eastAsia" w:ascii="宋体" w:hAnsi="宋体" w:cs="宋体"/>
          <w:b/>
          <w:color w:val="auto"/>
          <w:kern w:val="0"/>
          <w:szCs w:val="21"/>
          <w:highlight w:val="none"/>
        </w:rPr>
        <w:t>后递交</w:t>
      </w:r>
      <w:r>
        <w:rPr>
          <w:rFonts w:hint="eastAsia" w:ascii="宋体" w:hAnsi="宋体" w:cs="宋体"/>
          <w:b/>
          <w:color w:val="auto"/>
          <w:szCs w:val="21"/>
          <w:highlight w:val="none"/>
        </w:rPr>
        <w:t>。</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26.3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26.4已经提交响应文件的供应商，在提交最后报价之前，可以根据磋商情况退出磋商，退出磋商的供应商的响应文件按无效响应处理。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26.5供应商未在规定时间内提交最后报价的，视同退出磋商。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26.6磋商小组收齐项目或某一分标最后报价后统一开启，磋商小组对最后报价进行有效性、完整性和响应程度的审查。</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26.7最终响应文件的报价出现前后不一致的，按照本章第29.1条的规定修正。</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26.8修正后的最终报价出现下列情形的，按无效响应处理：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26.9经供应商确认修正后的最后报价作为评审及签订合同的依据。</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26.10供应商出现最后报价按无效响应处理或者响应文件按无效处理时，磋商小组应当告知有关供应商。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26.11最后报价结束后，磋商小组不得再与供应商进行任何形式的商谈。</w:t>
      </w:r>
    </w:p>
    <w:p>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27.比较与评价</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27.1评审方法：综合评分法。</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27.2经磋商确定最终采购需求和提交最后报价的供应商后，由磋商小组采用综合评分法对提交最后报价的供应商的响应文件和最后报价进行综合评分。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27.3评审时，磋商小组各成员应当独立对每个有效响应的文件进行评价、打分，然后汇总每个供应商每项评分因素的得分。</w:t>
      </w:r>
    </w:p>
    <w:p>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pPr>
        <w:snapToGrid w:val="0"/>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27.4评审价为供应商的最后报价进行政策性扣除后的价格，评审价只是作为评审时使用。最终成交供应商的成交金额等于最后报价（如有修正，以确认修正后的最后报价为准）。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27.5由磋商小组根据综合评分情况，按照评审得分由高到低顺序推荐3名以上成交候选供应商，并编写评审报告。符合本章第26.3条情形的，可以推荐2家成交候选供应商。评审得分相同的，按照最后报价由低到高的顺序推荐。评审得分且最后报价相同的，按照技术指标优劣顺序推荐。</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27.6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28.澄清问题的形式</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28.1对于响应文件中含义不明确、同类问题表述不一致或者有明显文字和计算错误的内容，评标委员会应在</w:t>
      </w:r>
      <w:r>
        <w:rPr>
          <w:rFonts w:hint="eastAsia" w:ascii="宋体" w:hAnsi="宋体" w:cs="宋体"/>
          <w:color w:val="auto"/>
          <w:highlight w:val="none"/>
        </w:rPr>
        <w:t>广西政府采购云平台</w:t>
      </w:r>
      <w:r>
        <w:rPr>
          <w:rFonts w:hint="eastAsia" w:ascii="宋体" w:hAnsi="宋体" w:cs="宋体"/>
          <w:color w:val="auto"/>
          <w:szCs w:val="21"/>
          <w:highlight w:val="none"/>
        </w:rPr>
        <w:t>发布电子澄清函，要求供应商在规定时间内作出必要的澄清、说明或者补正。供应商在</w:t>
      </w:r>
      <w:r>
        <w:rPr>
          <w:rFonts w:hint="eastAsia" w:ascii="宋体" w:hAnsi="宋体" w:cs="宋体"/>
          <w:color w:val="auto"/>
          <w:highlight w:val="none"/>
        </w:rPr>
        <w:t>广西政府采购云平台</w:t>
      </w:r>
      <w:r>
        <w:rPr>
          <w:rFonts w:hint="eastAsia" w:ascii="宋体" w:hAnsi="宋体" w:cs="宋体"/>
          <w:color w:val="auto"/>
          <w:szCs w:val="21"/>
          <w:highlight w:val="none"/>
        </w:rPr>
        <w:t>接收到电子澄清函后根据澄清函内容上传PDF格式回函，电子澄清答复函使用CA证书加盖单位公章后在线上传至评标委员会。供应商的澄清、说明或者补正不得超出响应文件的范围或者改变响应文件的实质性内容。供应商未在规定时间内进行澄清、说明或者补正的，按无效竞标处理。</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28.2异常情况处理：如遇无法正常使用线上发送澄清函的情况，将启动书面形式办理。启动书面形式办理的情况下，评标委员会以书面形式要求供应商在规定时间内作出必要的澄清、说明或者补正。供应商的澄清、说明或者补正必须采用书面形式，并加盖公章，或者由法定代表人或者其授权的代表签字。</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29.错误修正</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29.1竞争性磋商响应文件如果出现计算或表达上的错误，修正错误的原则如下：</w:t>
      </w:r>
    </w:p>
    <w:p>
      <w:pPr>
        <w:widowControl/>
        <w:spacing w:line="44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（1）响应文件中开标一览表（报价表）内容与响应文件中相应内容不一致的，以开标一览表（报价表）为准；</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（3）单价金额小数点或者百分比有明显错位的，以开标一览表的总价为准，并修改单价；</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highlight w:val="none"/>
        </w:rPr>
        <w:t>同时出现两种以上不一致的，按照前款规定的顺序修正。修正后的报价经供应商确认并加盖公章或者由法定代表人或其授权的代表签字后产生约束力，供应商不确认的，其竞标无效。</w:t>
      </w:r>
    </w:p>
    <w:p>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29.2经供应商确认修正后的首次及最后报价若超过采购预算金额，供应商的响应文件作无效处理。</w:t>
      </w:r>
    </w:p>
    <w:p>
      <w:pPr>
        <w:widowControl/>
        <w:tabs>
          <w:tab w:val="left" w:pos="540"/>
        </w:tabs>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29.3经供应商确认修正后的最后报价作为评审及签订合同的依据。</w:t>
      </w:r>
    </w:p>
    <w:p>
      <w:pPr>
        <w:widowControl/>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30.电子交易活动的中止</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30.1采购过程中出现以下情形，导致电子交易平台无法正常运行，或者无法保证电子交易的公平、公正和安全时，采购机构可中止电子交易活动：</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（1）电子交易平台发生故障而无法登录访问的；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（2）电子交易平台应用或数据库出现错误，不能进行正常操作的；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（3）电子交易平台发现严重安全漏洞，有潜在泄密危险的；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（4）病毒发作导致不能进行正常操作的；</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（4）其他无法保证电子交易的公平、公正和安全的情况。</w:t>
      </w:r>
    </w:p>
    <w:p>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30.2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31.评委表决</w:t>
      </w:r>
    </w:p>
    <w:p>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szCs w:val="21"/>
          <w:highlight w:val="none"/>
        </w:rPr>
        <w:t>31.1在评标过程中出现法律法规和竞争性磋商文件均没有明确规定的情形时，由磋商小组现场协商解决，协商不一致的，由全体评委投票表决，以得票率二分之一以上专家的意见为准。</w:t>
      </w:r>
    </w:p>
    <w:p>
      <w:pPr>
        <w:widowControl/>
        <w:tabs>
          <w:tab w:val="left" w:pos="540"/>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t>32.评审过程的监控</w:t>
      </w:r>
    </w:p>
    <w:p>
      <w:pPr>
        <w:widowControl/>
        <w:tabs>
          <w:tab w:val="left" w:pos="540"/>
        </w:tabs>
        <w:spacing w:line="440" w:lineRule="exact"/>
        <w:jc w:val="left"/>
        <w:rPr>
          <w:rFonts w:ascii="宋体" w:hAnsi="宋体" w:cs="宋体"/>
          <w:color w:val="auto"/>
          <w:szCs w:val="21"/>
          <w:highlight w:val="none"/>
        </w:rPr>
      </w:pPr>
      <w:r>
        <w:rPr>
          <w:rFonts w:hint="eastAsia" w:ascii="宋体" w:hAnsi="宋体" w:cs="宋体"/>
          <w:color w:val="auto"/>
          <w:highlight w:val="none"/>
        </w:rPr>
        <w:t>32.1本项目电子评标过程实行网上留痕、全程录音、录像监控，，供应商在评审过程中所进行的试图影响评审结果的不公正活动，可能导致其竞争性磋商被拒绝。</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五、成交及合同</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33.确定成交供应商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33.1</w:t>
      </w:r>
      <w:r>
        <w:rPr>
          <w:rFonts w:hint="eastAsia" w:ascii="宋体" w:hAnsi="宋体" w:cs="宋体"/>
          <w:color w:val="auto"/>
          <w:kern w:val="0"/>
          <w:szCs w:val="21"/>
          <w:highlight w:val="none"/>
        </w:rPr>
        <w:t>根据以下原则确定成交供应商：</w:t>
      </w:r>
      <w:r>
        <w:rPr>
          <w:rFonts w:hint="eastAsia" w:ascii="宋体" w:hAnsi="宋体" w:cs="宋体"/>
          <w:color w:val="auto"/>
          <w:kern w:val="0"/>
          <w:highlight w:val="none"/>
        </w:rPr>
        <w:t>响应文件满足磋商文件全部实质性要求且按评审因素的量化指标评审得分最高的供应商为成交供应商。</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33.2采购代理机构将在评标结束后两个工作日内将评标报告送采购人，采购人在五个工作日内按照评标报告中推荐的成交候选人顺序确定成交人。采购人也可以事先授权磋商小组直接确定成交人。</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33.3成交供应商确定后二个工作日内，</w:t>
      </w:r>
      <w:r>
        <w:rPr>
          <w:rFonts w:hint="eastAsia" w:ascii="宋体" w:hAnsi="宋体" w:cs="宋体"/>
          <w:color w:val="auto"/>
          <w:highlight w:val="none"/>
        </w:rPr>
        <w:t>采购代理机构或采购人</w:t>
      </w:r>
      <w:r>
        <w:rPr>
          <w:rFonts w:hint="eastAsia" w:ascii="宋体" w:hAnsi="宋体" w:cs="宋体"/>
          <w:color w:val="auto"/>
          <w:kern w:val="0"/>
          <w:highlight w:val="none"/>
        </w:rPr>
        <w:t>应当对成交人信用进行核实</w:t>
      </w:r>
      <w:r>
        <w:rPr>
          <w:rFonts w:hint="eastAsia" w:ascii="宋体" w:hAnsi="宋体" w:cs="宋体"/>
          <w:color w:val="auto"/>
          <w:highlight w:val="none"/>
        </w:rPr>
        <w:t>，如其未被列入失信被执行人、重大税收违法案件当事人名单、政府采购严重违法失信行为记录名单，则采购代理机构在公告发布媒体中标公告；如其被列入失信被执行人、重大税收违法案件当事人名单、政府采购严重违法失信行为记录名单，则取消其中标资格，</w:t>
      </w:r>
      <w:r>
        <w:rPr>
          <w:rFonts w:hint="eastAsia" w:ascii="宋体" w:hAnsi="宋体" w:cs="宋体"/>
          <w:color w:val="auto"/>
          <w:spacing w:val="-3"/>
          <w:highlight w:val="none"/>
        </w:rPr>
        <w:t>并确定排名第二的中标候选人为中标人。排名第二的中标候选人因前款规定的同样原因被取消中标资格的，采购人可以确定排名第三的中标候选人为中标人。以上信息查询记录</w:t>
      </w:r>
      <w:r>
        <w:rPr>
          <w:rFonts w:hint="eastAsia" w:ascii="宋体" w:hAnsi="宋体" w:cs="宋体"/>
          <w:color w:val="auto"/>
          <w:highlight w:val="none"/>
        </w:rPr>
        <w:t>及相关证据与采购文件一并保存。</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33.4</w:t>
      </w:r>
      <w:r>
        <w:rPr>
          <w:rFonts w:hint="eastAsia" w:ascii="宋体" w:hAnsi="宋体" w:cs="宋体"/>
          <w:color w:val="auto"/>
          <w:highlight w:val="none"/>
        </w:rPr>
        <w:t>在发布成交公告的同时，采购代理机构向成交供应商</w:t>
      </w:r>
      <w:r>
        <w:rPr>
          <w:rFonts w:hint="eastAsia" w:ascii="宋体" w:hAnsi="宋体" w:cs="宋体"/>
          <w:color w:val="auto"/>
          <w:kern w:val="0"/>
          <w:highlight w:val="none"/>
        </w:rPr>
        <w:t>通过</w:t>
      </w:r>
      <w:r>
        <w:rPr>
          <w:rFonts w:hint="eastAsia" w:ascii="宋体" w:hAnsi="宋体" w:cs="宋体"/>
          <w:color w:val="auto"/>
          <w:highlight w:val="none"/>
        </w:rPr>
        <w:t>广西政府采购云平台</w:t>
      </w:r>
      <w:r>
        <w:rPr>
          <w:rFonts w:hint="eastAsia" w:ascii="宋体" w:hAnsi="宋体" w:cs="宋体"/>
          <w:color w:val="auto"/>
          <w:kern w:val="0"/>
          <w:highlight w:val="none"/>
        </w:rPr>
        <w:t>发出电子</w:t>
      </w:r>
      <w:r>
        <w:rPr>
          <w:rFonts w:hint="eastAsia" w:ascii="宋体" w:hAnsi="宋体" w:cs="宋体"/>
          <w:color w:val="auto"/>
          <w:highlight w:val="none"/>
        </w:rPr>
        <w:t>成交通知书。</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33.5供应商认为竞争性磋商采购文件、招标过程和成交结果使自己的权益受到损害的，可以在知道或者应知其权益受到损害之日起七个工作日内，以书面形式向招标采购单位提出质疑，并及时索要书面回执。</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33.6采购代理机构应当按照有关规定就采购人委托授权范围内的事项在收到供应商的书面质疑后七个工作日内做出答复，但答复的内容不得涉及商业秘密。</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34.签订合同</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34.1成交供应商应在成交通知书发出之日起二十五日内，按磋商文件确定的合同文本及采购标的、规格型号、采购金额、采购数量、技术和服务要求等事项与采购人签订政府采购合同。如成交供应商为联合体的，由联合体成员各方法定代表人或其授权代表与采购人代表签订合同。</w:t>
      </w:r>
      <w:r>
        <w:rPr>
          <w:rFonts w:hint="eastAsia" w:ascii="宋体" w:hAnsi="宋体" w:cs="宋体"/>
          <w:color w:val="auto"/>
          <w:kern w:val="0"/>
          <w:highlight w:val="none"/>
        </w:rPr>
        <w:t>电子采购合同需要供应商通过有效CA证书进行电子签名与签章。</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34.2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34.3如成交人不按成交通知书的规定签订合同，则按成交人违约处理，采购代理机构将没收成交人投标的全部磋商保证金并上缴同级财政国库。</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34.4成交人拒绝签订政府采购合同或者因不可抗力或自身原因不能履行采购合同的，采购人可以按照评审报告推荐的成交候选人名单排序，确定下一候选人为成交供应商，也可以重新开展采购活动。拒绝签订政府采购合同的成交供应商不得参加对该项目重新开展的采购活动。</w:t>
      </w:r>
    </w:p>
    <w:p>
      <w:pPr>
        <w:spacing w:line="440" w:lineRule="exact"/>
        <w:rPr>
          <w:rFonts w:ascii="宋体" w:hAnsi="宋体" w:cs="宋体"/>
          <w:color w:val="auto"/>
          <w:highlight w:val="none"/>
        </w:rPr>
      </w:pPr>
      <w:r>
        <w:rPr>
          <w:rFonts w:hint="eastAsia" w:ascii="宋体" w:hAnsi="宋体" w:cs="宋体"/>
          <w:color w:val="auto"/>
          <w:szCs w:val="21"/>
          <w:highlight w:val="none"/>
        </w:rPr>
        <w:t>34.5政府采</w:t>
      </w:r>
      <w:r>
        <w:rPr>
          <w:rFonts w:hint="eastAsia" w:ascii="宋体" w:hAnsi="宋体" w:cs="宋体"/>
          <w:color w:val="auto"/>
          <w:highlight w:val="none"/>
        </w:rPr>
        <w:t>购合同公告：采购人或者受托采购代理机构应当自政府采购合同签订之日起2个工作日内，将政府采购合同在“广西政府采购网”（http://zfcg.gxzf.gov.cn）上发布公告，但政府采购合同中涉及国家秘密、商业秘密的内容除外。因此请各供应商应在响应文件中注明投标内容中涉及商业秘密的部分，未注明的视为响应文件中不涉及商业秘密。</w:t>
      </w:r>
    </w:p>
    <w:p>
      <w:pPr>
        <w:pStyle w:val="23"/>
        <w:snapToGrid w:val="0"/>
        <w:spacing w:line="440" w:lineRule="exact"/>
        <w:rPr>
          <w:rFonts w:hAnsi="宋体" w:cs="宋体"/>
          <w:b/>
          <w:color w:val="auto"/>
          <w:highlight w:val="none"/>
        </w:rPr>
      </w:pPr>
      <w:r>
        <w:rPr>
          <w:rFonts w:hint="eastAsia" w:hAnsi="宋体" w:cs="宋体"/>
          <w:b/>
          <w:color w:val="auto"/>
          <w:highlight w:val="none"/>
        </w:rPr>
        <w:t>34.6履约保证金</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34.6.1履约保证金金额：详见供应商须知前附</w:t>
      </w:r>
      <w:r>
        <w:rPr>
          <w:rFonts w:hint="eastAsia" w:ascii="宋体" w:hAnsi="宋体" w:cs="宋体"/>
          <w:color w:val="auto"/>
          <w:szCs w:val="21"/>
          <w:highlight w:val="none"/>
        </w:rPr>
        <w:t>表</w:t>
      </w:r>
      <w:r>
        <w:rPr>
          <w:rFonts w:hint="eastAsia" w:ascii="宋体" w:hAnsi="宋体" w:cs="宋体"/>
          <w:color w:val="auto"/>
          <w:kern w:val="0"/>
          <w:szCs w:val="21"/>
          <w:highlight w:val="none"/>
        </w:rPr>
        <w:t>。</w:t>
      </w:r>
    </w:p>
    <w:p>
      <w:pPr>
        <w:snapToGri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34.6.2履约保证金递交时间：详见供应商须知前附</w:t>
      </w:r>
      <w:r>
        <w:rPr>
          <w:rFonts w:hint="eastAsia" w:ascii="宋体" w:hAnsi="宋体" w:cs="宋体"/>
          <w:color w:val="auto"/>
          <w:szCs w:val="21"/>
          <w:highlight w:val="none"/>
        </w:rPr>
        <w:t>表，未在规定时间内足额缴纳履约保证金的，不予签订合同</w:t>
      </w:r>
      <w:r>
        <w:rPr>
          <w:rFonts w:hint="eastAsia" w:ascii="宋体" w:hAnsi="宋体" w:cs="宋体"/>
          <w:color w:val="auto"/>
          <w:kern w:val="0"/>
          <w:szCs w:val="21"/>
          <w:highlight w:val="none"/>
        </w:rPr>
        <w:t>。</w:t>
      </w:r>
    </w:p>
    <w:p>
      <w:pPr>
        <w:pStyle w:val="23"/>
        <w:snapToGrid w:val="0"/>
        <w:spacing w:line="440" w:lineRule="exact"/>
        <w:rPr>
          <w:rFonts w:hAnsi="宋体" w:cs="宋体"/>
          <w:color w:val="auto"/>
          <w:highlight w:val="none"/>
        </w:rPr>
      </w:pPr>
      <w:r>
        <w:rPr>
          <w:rFonts w:hint="eastAsia" w:hAnsi="宋体" w:cs="宋体"/>
          <w:color w:val="auto"/>
          <w:highlight w:val="none"/>
        </w:rPr>
        <w:t>34.6.3</w:t>
      </w:r>
      <w:r>
        <w:rPr>
          <w:rFonts w:hint="eastAsia" w:hAnsi="宋体" w:cs="宋体"/>
          <w:color w:val="auto"/>
          <w:sz w:val="21"/>
          <w:highlight w:val="none"/>
        </w:rPr>
        <w:t>在履约保证金退还日期前，若</w:t>
      </w:r>
      <w:r>
        <w:rPr>
          <w:rFonts w:hint="eastAsia" w:hAnsi="宋体" w:cs="宋体"/>
          <w:color w:val="auto"/>
          <w:highlight w:val="none"/>
        </w:rPr>
        <w:t>中标</w:t>
      </w:r>
      <w:r>
        <w:rPr>
          <w:rFonts w:hint="eastAsia" w:hAnsi="宋体" w:cs="宋体"/>
          <w:color w:val="auto"/>
          <w:sz w:val="21"/>
          <w:highlight w:val="none"/>
        </w:rPr>
        <w:t>供应商的开户名称、开户银行、</w:t>
      </w:r>
      <w:r>
        <w:rPr>
          <w:rFonts w:hint="eastAsia" w:hAnsi="宋体" w:cs="宋体"/>
          <w:color w:val="auto"/>
          <w:sz w:val="21"/>
          <w:highlight w:val="none"/>
          <w:lang w:eastAsia="zh-CN"/>
        </w:rPr>
        <w:t>账号</w:t>
      </w:r>
      <w:r>
        <w:rPr>
          <w:rFonts w:hint="eastAsia" w:hAnsi="宋体" w:cs="宋体"/>
          <w:color w:val="auto"/>
          <w:sz w:val="21"/>
          <w:highlight w:val="none"/>
        </w:rPr>
        <w:t>有变动的，请以书面形式通知保证金收取单位，否则由此产生的后果由</w:t>
      </w:r>
      <w:r>
        <w:rPr>
          <w:rFonts w:hint="eastAsia" w:hAnsi="宋体" w:cs="宋体"/>
          <w:color w:val="auto"/>
          <w:highlight w:val="none"/>
        </w:rPr>
        <w:t>中标</w:t>
      </w:r>
      <w:r>
        <w:rPr>
          <w:rFonts w:hint="eastAsia" w:hAnsi="宋体" w:cs="宋体"/>
          <w:color w:val="auto"/>
          <w:sz w:val="21"/>
          <w:highlight w:val="none"/>
        </w:rPr>
        <w:t>供应商自负。</w:t>
      </w:r>
    </w:p>
    <w:p>
      <w:pPr>
        <w:spacing w:line="440" w:lineRule="exact"/>
        <w:rPr>
          <w:rFonts w:ascii="宋体" w:hAnsi="宋体" w:cs="宋体"/>
          <w:b/>
          <w:bCs/>
          <w:color w:val="auto"/>
          <w:highlight w:val="none"/>
        </w:rPr>
      </w:pPr>
      <w:r>
        <w:rPr>
          <w:rFonts w:hint="eastAsia" w:ascii="宋体" w:hAnsi="宋体" w:cs="宋体"/>
          <w:b/>
          <w:bCs/>
          <w:color w:val="auto"/>
          <w:highlight w:val="none"/>
        </w:rPr>
        <w:t>六、验收</w:t>
      </w:r>
    </w:p>
    <w:p>
      <w:pPr>
        <w:spacing w:line="440" w:lineRule="exact"/>
        <w:rPr>
          <w:rFonts w:ascii="宋体" w:hAnsi="宋体" w:cs="宋体"/>
          <w:b/>
          <w:bCs/>
          <w:color w:val="auto"/>
          <w:highlight w:val="none"/>
        </w:rPr>
      </w:pPr>
      <w:r>
        <w:rPr>
          <w:rFonts w:hint="eastAsia" w:ascii="宋体" w:hAnsi="宋体" w:cs="宋体"/>
          <w:b/>
          <w:bCs/>
          <w:color w:val="auto"/>
          <w:highlight w:val="none"/>
        </w:rPr>
        <w:t>35.验收</w:t>
      </w:r>
    </w:p>
    <w:p>
      <w:pPr>
        <w:spacing w:line="440" w:lineRule="exact"/>
        <w:rPr>
          <w:rFonts w:ascii="宋体" w:hAnsi="宋体" w:cs="宋体"/>
          <w:bCs/>
          <w:color w:val="auto"/>
          <w:highlight w:val="none"/>
        </w:rPr>
      </w:pPr>
      <w:r>
        <w:rPr>
          <w:rFonts w:hint="eastAsia" w:ascii="宋体" w:hAnsi="宋体" w:cs="宋体"/>
          <w:bCs/>
          <w:color w:val="auto"/>
          <w:highlight w:val="none"/>
        </w:rPr>
        <w:t>35.1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line="440" w:lineRule="exact"/>
        <w:rPr>
          <w:rFonts w:ascii="宋体" w:hAnsi="宋体" w:cs="宋体"/>
          <w:bCs/>
          <w:color w:val="auto"/>
          <w:highlight w:val="none"/>
        </w:rPr>
      </w:pPr>
      <w:r>
        <w:rPr>
          <w:rFonts w:hint="eastAsia" w:ascii="宋体" w:hAnsi="宋体" w:cs="宋体"/>
          <w:bCs/>
          <w:color w:val="auto"/>
          <w:highlight w:val="none"/>
        </w:rPr>
        <w:t>35.2采购人可以邀请参加本项目的其他供应商或者第三方机构参与验收。参与验收的供应商或者第三方机构的意见作为验收书的参考资料一并存档。</w:t>
      </w:r>
    </w:p>
    <w:p>
      <w:pPr>
        <w:spacing w:line="440" w:lineRule="exact"/>
        <w:rPr>
          <w:rFonts w:ascii="宋体" w:hAnsi="宋体" w:cs="宋体"/>
          <w:bCs/>
          <w:color w:val="auto"/>
          <w:highlight w:val="none"/>
        </w:rPr>
      </w:pPr>
      <w:r>
        <w:rPr>
          <w:rFonts w:hint="eastAsia" w:ascii="宋体" w:hAnsi="宋体" w:cs="宋体"/>
          <w:bCs/>
          <w:color w:val="auto"/>
          <w:highlight w:val="none"/>
        </w:rPr>
        <w:t>35.3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pacing w:line="440" w:lineRule="exact"/>
        <w:rPr>
          <w:rFonts w:ascii="宋体" w:hAnsi="宋体" w:cs="宋体"/>
          <w:bCs/>
          <w:color w:val="auto"/>
          <w:highlight w:val="none"/>
        </w:rPr>
      </w:pPr>
      <w:r>
        <w:rPr>
          <w:rFonts w:hint="eastAsia" w:ascii="宋体" w:hAnsi="宋体" w:cs="宋体"/>
          <w:bCs/>
          <w:color w:val="auto"/>
          <w:highlight w:val="none"/>
        </w:rPr>
        <w:t>35.4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pacing w:line="440" w:lineRule="exact"/>
        <w:rPr>
          <w:rFonts w:ascii="宋体" w:hAnsi="宋体" w:cs="宋体"/>
          <w:bCs/>
          <w:color w:val="auto"/>
          <w:highlight w:val="none"/>
        </w:rPr>
      </w:pPr>
      <w:r>
        <w:rPr>
          <w:rFonts w:hint="eastAsia" w:ascii="宋体" w:hAnsi="宋体" w:cs="宋体"/>
          <w:bCs/>
          <w:color w:val="auto"/>
          <w:highlight w:val="none"/>
        </w:rPr>
        <w:t>35.5项目验收完毕，成交供应商将壹份《广西壮族自治区政府采购项目合同验收书》（格式详见附件）送采购代理机构存档。</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七、其他事项</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36.需要补充的其他内容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36.1本招标文件解释规则详见“供应商须知前附表”。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37.2其他事项详见“供应商须知前附表”。</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37.成交服务费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37.1成交服务费：本项目成交服务费按</w:t>
      </w:r>
      <w:r>
        <w:rPr>
          <w:rFonts w:hint="eastAsia" w:ascii="宋体" w:hAnsi="宋体" w:cs="宋体"/>
          <w:color w:val="auto"/>
          <w:highlight w:val="none"/>
        </w:rPr>
        <w:t>《招标代理服务收费管理暂行办法》（计价格[2002]1980号）收费标准和发改办[2003]857号文规定向中标人收取</w:t>
      </w:r>
      <w:r>
        <w:rPr>
          <w:rFonts w:hint="eastAsia" w:ascii="宋体" w:hAnsi="宋体" w:cs="宋体"/>
          <w:color w:val="auto"/>
          <w:szCs w:val="21"/>
          <w:highlight w:val="none"/>
        </w:rPr>
        <w:t>。</w:t>
      </w:r>
      <w:r>
        <w:rPr>
          <w:rFonts w:hint="eastAsia" w:ascii="宋体" w:hAnsi="宋体" w:cs="宋体"/>
          <w:color w:val="auto"/>
          <w:highlight w:val="none"/>
        </w:rPr>
        <w:t>领取成交通知书时，成交人应向采购代理机构一次付清成交服务费。</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37.2成交服务费收费标准：</w:t>
      </w:r>
    </w:p>
    <w:tbl>
      <w:tblPr>
        <w:tblStyle w:val="41"/>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1808"/>
        <w:gridCol w:w="2061"/>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3617" w:type="dxa"/>
            <w:tcBorders>
              <w:top w:val="single" w:color="auto" w:sz="4" w:space="0"/>
              <w:left w:val="single" w:color="auto" w:sz="4" w:space="0"/>
              <w:bottom w:val="single" w:color="auto" w:sz="4" w:space="0"/>
              <w:right w:val="single" w:color="auto" w:sz="4" w:space="0"/>
            </w:tcBorders>
          </w:tcPr>
          <w:p>
            <w:pPr>
              <w:spacing w:line="440" w:lineRule="exact"/>
              <w:ind w:firstLine="1640" w:firstLineChars="781"/>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7456" behindDoc="0" locked="0" layoutInCell="1" allowOverlap="1">
                      <wp:simplePos x="0" y="0"/>
                      <wp:positionH relativeFrom="column">
                        <wp:posOffset>372110</wp:posOffset>
                      </wp:positionH>
                      <wp:positionV relativeFrom="paragraph">
                        <wp:posOffset>-635</wp:posOffset>
                      </wp:positionV>
                      <wp:extent cx="1849120" cy="1120140"/>
                      <wp:effectExtent l="0" t="0" r="17780" b="22860"/>
                      <wp:wrapNone/>
                      <wp:docPr id="12" name="直接连接符 3"/>
                      <wp:cNvGraphicFramePr/>
                      <a:graphic xmlns:a="http://schemas.openxmlformats.org/drawingml/2006/main">
                        <a:graphicData uri="http://schemas.microsoft.com/office/word/2010/wordprocessingShape">
                          <wps:wsp>
                            <wps:cNvCnPr>
                              <a:cxnSpLocks noChangeShapeType="1"/>
                            </wps:cNvCnPr>
                            <wps:spPr bwMode="auto">
                              <a:xfrm flipH="1" flipV="1">
                                <a:off x="0" y="0"/>
                                <a:ext cx="1849120" cy="1120140"/>
                              </a:xfrm>
                              <a:prstGeom prst="line">
                                <a:avLst/>
                              </a:prstGeom>
                              <a:noFill/>
                              <a:ln w="9525">
                                <a:solidFill>
                                  <a:srgbClr val="000000"/>
                                </a:solidFill>
                                <a:round/>
                              </a:ln>
                              <a:effectLst/>
                            </wps:spPr>
                            <wps:bodyPr/>
                          </wps:wsp>
                        </a:graphicData>
                      </a:graphic>
                    </wp:anchor>
                  </w:drawing>
                </mc:Choice>
                <mc:Fallback>
                  <w:pict>
                    <v:line id="直接连接符 3" o:spid="_x0000_s1026" o:spt="20" style="position:absolute;left:0pt;flip:x y;margin-left:29.3pt;margin-top:-0.05pt;height:88.2pt;width:145.6pt;z-index:251667456;mso-width-relative:page;mso-height-relative:page;" filled="f" stroked="t" coordsize="21600,21600" o:gfxdata="UEsDBAoAAAAAAIdO4kAAAAAAAAAAAAAAAAAEAAAAZHJzL1BLAwQUAAAACACHTuJAKHOZqNQAAAAI&#10;AQAADwAAAGRycy9kb3ducmV2LnhtbE2PwU7DMBBE70j8g7VI3Fo7FJI0xOmhUj+gBVUc3XhJotrr&#10;ELtN+XuWExxHM5p5U29u3okrTnEIpCFbKhBIbbADdRre33aLEkRMhqxxgVDDN0bYNPd3talsmGmP&#10;10PqBJdQrIyGPqWxkjK2PXoTl2FEYu8zTN4kllMn7WRmLvdOPimVS28G4oXejLjtsT0fLl6DK1X5&#10;ddwW88fe8sru6HoqMq0fHzL1CiLhLf2F4Ref0aFhplO4kI3CaXgpc05qWGQg2F49r/nJiXNFvgLZ&#10;1PL/geYHUEsDBBQAAAAIAIdO4kDqjHrk+gEAANMDAAAOAAAAZHJzL2Uyb0RvYy54bWytU8FuEzEQ&#10;vSPxD5bvZLOhRe0qmx4SFQ4FIrXl7ni9WQvbY3mcbPIT/AASNzj1yJ2/oXxGx06alnLpgT1YY8/M&#10;m3lvZsdnG2vYWgXU4GpeDoacKSeh0W5Z8+ur81cnnGEUrhEGnKr5ViE/m7x8Me59pUbQgWlUYATi&#10;sOp9zbsYfVUUKDtlBQ7AK0fOFoIVka5hWTRB9IRuTTEaDt8UPYTGB5AKkV5nOyffI4bnAELbaqlm&#10;IFdWubhDDcqISJSw0x75JHfbtkrGj22LKjJTc2Ia80lFyF6ks5iMRbUMwnda7lsQz2nhCScrtKOi&#10;B6iZiIKtgv4HymoZAKGNAwm22BHJihCLcvhEm8tOeJW5kNToD6Lj/4OVH9bzwHRDmzDizAlLE7/9&#10;+vP3l+9/fn2j8/bmB3udVOo9VhQ8dfOQeMqNu/QXID8jczDthFuq3O3V1hNCmTKKv1LSBT3VWvTv&#10;oaEYsYqQJdu0wbLWaP8uJWbrU7JSGRKIbfK0todpqU1kkh7Lk6PTckSDlOQrySqP8jwLUSXIlO4D&#10;xrcKLEtGzY12SU5RifUFxtTiQ0h6dnCujckrYRzra356PDrOCQhGN8mZwjAsF1MT2Fqkpcpf5kue&#10;x2EBVq7ZFTEu5am8j/vK93rslF1As52He9Fo1rm3/V6mZXp8z9I+/IuT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hzmajUAAAACAEAAA8AAAAAAAAAAQAgAAAAIgAAAGRycy9kb3ducmV2LnhtbFBL&#10;AQIUABQAAAAIAIdO4kDqjHrk+gEAANMDAAAOAAAAAAAAAAEAIAAAACMBAABkcnMvZTJvRG9jLnht&#10;bFBLBQYAAAAABgAGAFkBAACPBQAAAAA=&#10;">
                      <v:fill on="f" focussize="0,0"/>
                      <v:stroke color="#000000" joinstyle="round"/>
                      <v:imagedata o:title=""/>
                      <o:lock v:ext="edit" aspectratio="f"/>
                    </v:line>
                  </w:pict>
                </mc:Fallback>
              </mc:AlternateContent>
            </w:r>
            <w:r>
              <w:rPr>
                <w:rFonts w:hint="eastAsia" w:ascii="宋体" w:hAnsi="宋体" w:cs="宋体"/>
                <w:color w:val="auto"/>
                <w:szCs w:val="21"/>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-6350</wp:posOffset>
                      </wp:positionV>
                      <wp:extent cx="635" cy="0"/>
                      <wp:effectExtent l="0" t="0" r="0" b="0"/>
                      <wp:wrapNone/>
                      <wp:docPr id="11"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直接连接符 2" o:spid="_x0000_s1026" o:spt="20" style="position:absolute;left:0pt;margin-left:-9pt;margin-top:-0.5pt;height:0pt;width:0.05pt;z-index:251668480;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xCrCVuYBAAC1AwAADgAAAGRycy9lMm9Eb2MueG1srVPNjtMw&#10;EL4j8Q6W7zRtUVcQNd1Dq+WyQKVdHmDqOImF7bFst2lfghdA4gYnjtx5m10eg7HblGW57IEcLHt+&#10;vpnvm8n8cm8020kfFNqKT0ZjzqQVWCvbVvzD7dWLV5yFCLYGjVZW/CADv1w8fzbvXSmn2KGupWcE&#10;YkPZu4p3MbqyKILopIEwQictORv0BiI9fVvUHnpCN7qYjscXRY++dh6FDIGsq6OTnxD9UwCxaZSQ&#10;KxRbI208onqpIRKl0CkX+CJ32zRSxPdNE2RkuuLENOaTitB9k85iMYey9eA6JU4twFNaeMTJgLJU&#10;9Ay1gghs69U/UEYJjwGbOBJoiiORrAixmIwfaXPTgZOZC0kd3Fn08P9gxbvd2jNV0yZMOLNgaOL3&#10;n3/cffr66+cXOu+/f2PTpFLvQknBS7v2iafY2xt3jeJjYBaXHdhW5m5vD44QJimj+CslPYKjWpv+&#10;LdYUA9uIWbJ9402CJDHYPk/mcJ6M3EcmyHjxcsaZGOwFlEOS8yG+kWhYulRcK5sEgxJ21yGmJqAc&#10;QpLZ4pXSOg9dW9ZX/PVsOssJAbWqkzOFBd9ultqzHaS1yV9mRJ6HYR63tj4W0Tblybxxp8oD46N2&#10;G6wPaz/IQtPMvZ02L63Lw3cW78/f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5HTftUAAAAJ&#10;AQAADwAAAAAAAAABACAAAAAiAAAAZHJzL2Rvd25yZXYueG1sUEsBAhQAFAAAAAgAh07iQMQqwlbm&#10;AQAAtQMAAA4AAAAAAAAAAQAgAAAAJAEAAGRycy9lMm9Eb2MueG1sUEsFBgAAAAAGAAYAWQEAAHwF&#10;A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服务类型</w:t>
            </w:r>
          </w:p>
          <w:p>
            <w:pPr>
              <w:spacing w:line="440" w:lineRule="exact"/>
              <w:ind w:firstLine="211" w:firstLineChars="100"/>
              <w:rPr>
                <w:rFonts w:ascii="宋体" w:hAnsi="宋体" w:cs="宋体"/>
                <w:b/>
                <w:bCs/>
                <w:color w:val="auto"/>
                <w:szCs w:val="21"/>
                <w:highlight w:val="none"/>
              </w:rPr>
            </w:pPr>
            <w:r>
              <w:rPr>
                <w:rFonts w:hint="eastAsia" w:ascii="宋体" w:hAnsi="宋体" w:cs="宋体"/>
                <w:b/>
                <w:bCs/>
                <w:color w:val="auto"/>
                <w:szCs w:val="21"/>
                <w:highlight w:val="none"/>
              </w:rPr>
              <w:t>费率　　　　　　　　</w:t>
            </w:r>
          </w:p>
          <w:p>
            <w:pPr>
              <w:spacing w:line="440" w:lineRule="exact"/>
              <w:rPr>
                <w:rFonts w:ascii="宋体" w:hAnsi="宋体" w:cs="宋体"/>
                <w:b/>
                <w:bCs/>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9504" behindDoc="0" locked="0" layoutInCell="1" allowOverlap="1">
                      <wp:simplePos x="0" y="0"/>
                      <wp:positionH relativeFrom="column">
                        <wp:posOffset>-71755</wp:posOffset>
                      </wp:positionH>
                      <wp:positionV relativeFrom="paragraph">
                        <wp:posOffset>67945</wp:posOffset>
                      </wp:positionV>
                      <wp:extent cx="2316480" cy="491490"/>
                      <wp:effectExtent l="0" t="0" r="26670" b="22860"/>
                      <wp:wrapNone/>
                      <wp:docPr id="10" name="直接连接符 1"/>
                      <wp:cNvGraphicFramePr/>
                      <a:graphic xmlns:a="http://schemas.openxmlformats.org/drawingml/2006/main">
                        <a:graphicData uri="http://schemas.microsoft.com/office/word/2010/wordprocessingShape">
                          <wps:wsp>
                            <wps:cNvCnPr>
                              <a:cxnSpLocks noChangeShapeType="1"/>
                            </wps:cNvCnPr>
                            <wps:spPr bwMode="auto">
                              <a:xfrm flipH="1" flipV="1">
                                <a:off x="0" y="0"/>
                                <a:ext cx="2316480" cy="49149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flip:x y;margin-left:-5.65pt;margin-top:5.35pt;height:38.7pt;width:182.4pt;z-index:251669504;mso-width-relative:page;mso-height-relative:page;" filled="f" stroked="t" coordsize="21600,21600" o:gfxdata="UEsDBAoAAAAAAIdO4kAAAAAAAAAAAAAAAAAEAAAAZHJzL1BLAwQUAAAACACHTuJAAgVgyNQAAAAJ&#10;AQAADwAAAGRycy9kb3ducmV2LnhtbE2PQU7DMBBF90jcwRokdq1tohIrxOmiUg/QgiqWbmziCHsc&#10;Yrcpt2dYwXL0n/5/025vMbCrm/OYUINcC2AO+2RHHDS8ve5XClguBq0JCZ2Gb5dh293ftaaxacGD&#10;ux7LwKgEc2M0+FKmhvPcexdNXqfJIWUfaY6m0DkP3M5mofIY+JMQzzyaEWnBm8ntvOs/j5eoISih&#10;vk67enk/WFrZn4LHWmr9+CDFC7DibuUPhl99UoeOnM7pgjazoGElZUUoBaIGRkC1qTbAzhqUksC7&#10;lv//oPsBUEsDBBQAAAAIAIdO4kA0gbiA+wEAANIDAAAOAAAAZHJzL2Uyb0RvYy54bWytU81uEzEQ&#10;viPxDpbvZJOQVs0qmx4SFQ4FIrXl7ni9WQvbY3mcbPISvAASNzj1yJ23oTxGx04aaLn0wB4se36+&#10;me+b2cn51hq2UQE1uIoPen3OlJNQa7eq+M31xaszzjAKVwsDTlV8p5CfT1++mHS+VENowdQqMAJx&#10;WHa+4m2MviwKlK2yAnvglSNnA8GKSM+wKuogOkK3phj2+6dFB6H2AaRCJOt87+QHxPAcQGgaLdUc&#10;5NoqF/eoQRkRiRK22iOf5m6bRsn4oWlQRWYqTkxjPqkI3ZfpLKYTUa6C8K2WhxbEc1p4wskK7ajo&#10;EWouomDroP+BsloGQGhiT4It9kSyIsRi0H+izVUrvMpcSGr0R9Hx/8HK95tFYLqmTSBJnLA08bsv&#10;P359/vb751c6726/s0FSqfNYUvDMLULiKbfuyl+C/ITMwawVbqVyt9c7Twg5o3iUkh7oqdayewc1&#10;xYh1hCzZtgmWNUb7tykx3z6mWypDArFtntbuOC21jUyScfh6cDo6o64l+UbjwWicx1mIMiGmbB8w&#10;vlFgWbpU3GiX1BSl2FxiJE4U+hCSzA4utDF5I4xjXcXHJ8OTnIBgdJ2cKQzDajkzgW1E2qn8JYEI&#10;7FFYgLWr93bjUp7K63io/CDHXtgl1LtFSMHJTqPOcIe1TLv09ztH/fkVp/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BWDI1AAAAAkBAAAPAAAAAAAAAAEAIAAAACIAAABkcnMvZG93bnJldi54bWxQ&#10;SwECFAAUAAAACACHTuJANIG4gPsBAADSAwAADgAAAAAAAAABACAAAAAjAQAAZHJzL2Uyb0RvYy54&#10;bWxQSwUGAAAAAAYABgBZAQAAkAUAAAAA&#10;">
                      <v:fill on="f" focussize="0,0"/>
                      <v:stroke color="#000000" joinstyle="round"/>
                      <v:imagedata o:title=""/>
                      <o:lock v:ext="edit" aspectratio="f"/>
                    </v:line>
                  </w:pict>
                </mc:Fallback>
              </mc:AlternateContent>
            </w:r>
            <w:r>
              <w:rPr>
                <w:rFonts w:hint="eastAsia" w:ascii="宋体" w:hAnsi="宋体" w:cs="宋体"/>
                <w:b/>
                <w:bCs/>
                <w:color w:val="auto"/>
                <w:szCs w:val="21"/>
                <w:highlight w:val="none"/>
              </w:rPr>
              <w:t>　　　</w:t>
            </w:r>
          </w:p>
          <w:p>
            <w:pPr>
              <w:spacing w:line="440" w:lineRule="exact"/>
              <w:rPr>
                <w:rFonts w:ascii="宋体" w:hAnsi="宋体" w:cs="宋体"/>
                <w:b/>
                <w:bCs/>
                <w:color w:val="auto"/>
                <w:szCs w:val="21"/>
                <w:highlight w:val="none"/>
              </w:rPr>
            </w:pPr>
            <w:r>
              <w:rPr>
                <w:rFonts w:hint="eastAsia" w:ascii="宋体" w:hAnsi="宋体" w:cs="宋体"/>
                <w:b/>
                <w:bCs/>
                <w:color w:val="auto"/>
                <w:szCs w:val="21"/>
                <w:highlight w:val="none"/>
              </w:rPr>
              <w:t>成交金额（万元）</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货物采购</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服务采购</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100以下</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100-500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500-1000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0.45％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1000-5000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5000-10000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0.1％</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617"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10000-100000</w:t>
            </w:r>
          </w:p>
        </w:tc>
        <w:tc>
          <w:tcPr>
            <w:tcW w:w="18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206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8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r>
    </w:tbl>
    <w:p>
      <w:pPr>
        <w:pStyle w:val="23"/>
        <w:snapToGrid w:val="0"/>
        <w:spacing w:line="440" w:lineRule="exact"/>
        <w:ind w:firstLine="411" w:firstLineChars="196"/>
        <w:rPr>
          <w:rFonts w:hAnsi="宋体" w:cs="宋体"/>
          <w:color w:val="auto"/>
          <w:kern w:val="2"/>
          <w:sz w:val="21"/>
          <w:highlight w:val="none"/>
        </w:rPr>
      </w:pPr>
      <w:r>
        <w:rPr>
          <w:rFonts w:hint="eastAsia" w:hAnsi="宋体" w:cs="宋体"/>
          <w:color w:val="auto"/>
          <w:kern w:val="2"/>
          <w:sz w:val="21"/>
          <w:highlight w:val="none"/>
        </w:rPr>
        <w:t>注：招标代理服务费收费按差额定率累进法计算。</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38.供应商信用查询相关规定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38.1信用查询渠道：“信用中国”网站（www.creditchina.gov.cn）、中国政府采购网（www.ccgp.gov.cn）；</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38.2信用查询截止时点：资格审查时。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38.3信用信息查询记录：“列入失信被执行人”、“重大税收违法案件当事人名单”、“政府采购严重违法失信行为记录名单”。</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38.4信用信息的使用规则：如供应商被列入“列入失信被执行人”、“重大税收违法案件当事人名单”、“政府采购严重违法失信行为记录名单”等名单内的，将按照信用信息使用规则处理。</w:t>
      </w:r>
    </w:p>
    <w:p>
      <w:pPr>
        <w:spacing w:line="440" w:lineRule="exact"/>
        <w:rPr>
          <w:rFonts w:ascii="宋体" w:hAnsi="宋体" w:cs="宋体"/>
          <w:color w:val="auto"/>
          <w:highlight w:val="none"/>
        </w:rPr>
      </w:pPr>
      <w:r>
        <w:rPr>
          <w:rFonts w:hint="eastAsia" w:ascii="宋体" w:hAnsi="宋体" w:cs="宋体"/>
          <w:color w:val="auto"/>
          <w:szCs w:val="21"/>
          <w:highlight w:val="none"/>
        </w:rPr>
        <w:t>38.5证据留存方式：</w:t>
      </w:r>
      <w:r>
        <w:rPr>
          <w:rFonts w:hint="eastAsia" w:ascii="宋体" w:hAnsi="宋体" w:cs="宋体"/>
          <w:color w:val="auto"/>
          <w:highlight w:val="none"/>
        </w:rPr>
        <w:t>在查询网站中直接截图查询记录，截图作为在广西政府采购云平台作为附件上传保存。</w:t>
      </w: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39.关于中小企业的相关规定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39.1根据《政府采购促进中小企业发展管理办法》（财库[2020]46号），本招标文件中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39.2供应商提供的货物、工程或者服务符合下列情形的，享受中小企业扶持政策：①在货物采购项目中，货物由中小企业制造，即货物由中小企业生产且使用该中小企业商号或者注册商标；②在工程采购项目中，工程由中小企业承建，即工程施工单位为中小企业；③在服务采购项目中，服务由中小企业承接，即提供服务的人员为中小企业依照《中华人民共和国劳动合同法》订立劳动合同的从业人员。</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39.3在货物采购项目中，供应商提供的货物既有中小企业制造货物，也有大型企业制造货物的，不享受中小企业扶持政策。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39.4以联合体形式参加政府采购活动，联合体各方均为中小企业的，联合体视同中小企业。其中，联合体各方均为小微企业的，联合体视同小微企业。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联合体参与政府采购项目的，联合体各方所提供货物、工程、服务均为中小企业制造、承建、承接的，联合体视同中小企业，享受对中小企业的预留份额政策；联合体各方提供货物、工程、服务均为小微企业制造、承建、承接的，联合体视同小微企业，享受对小微企业的预留份额政策。</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39.5享受中小企业扶持政策获得政府采购合同的，小微企业不得将合同分包给大中型企业，中型企业不得将合同分包给大型企业。</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39.6供应商（货物项目时为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39.7供应商（货物项目时为投标产品提供企业）按《三部门联合发布关于促进残疾人就业政府采购政策的通知》（财库[2017]141号）认定为残疾人福利性单位的，视同小型、微型企业；残疾人福利性单位参加政府采购活动时，应当提供《残疾人福利性单位声明函》。残疾人福利性单位属于小型、微型企业的，不重复享受政策。</w:t>
      </w:r>
    </w:p>
    <w:p>
      <w:pPr>
        <w:spacing w:line="440" w:lineRule="exact"/>
        <w:rPr>
          <w:rFonts w:ascii="宋体" w:hAnsi="宋体" w:cs="宋体"/>
          <w:color w:val="auto"/>
          <w:highlight w:val="none"/>
        </w:rPr>
      </w:pPr>
      <w:r>
        <w:rPr>
          <w:rFonts w:hint="eastAsia" w:ascii="宋体" w:hAnsi="宋体" w:cs="宋体"/>
          <w:color w:val="auto"/>
          <w:szCs w:val="21"/>
          <w:highlight w:val="none"/>
        </w:rPr>
        <w:t>39.8对于专门面向中小企业采购的采购项目或者采购包，通过发布公告方式邀请供应商后，符合资格条件的中小企业数量不足3家的，应当中止采购活动，视同非专门面向中小企业采购的采购项目或者采购包，按照《政府采购促进中小企业发展管理办法》（财库[2020]46号）第九条有关规定重新组织采购活动。</w:t>
      </w:r>
      <w:r>
        <w:rPr>
          <w:rFonts w:hint="eastAsia" w:ascii="宋体" w:hAnsi="宋体" w:cs="宋体"/>
          <w:color w:val="auto"/>
          <w:sz w:val="32"/>
          <w:szCs w:val="32"/>
          <w:highlight w:val="none"/>
        </w:rPr>
        <w:br w:type="page"/>
      </w:r>
      <w:r>
        <w:rPr>
          <w:rFonts w:hint="eastAsia" w:ascii="宋体" w:hAnsi="宋体" w:cs="宋体"/>
          <w:color w:val="auto"/>
          <w:highlight w:val="none"/>
        </w:rPr>
        <w:t>附件1：</w:t>
      </w:r>
    </w:p>
    <w:p>
      <w:pPr>
        <w:widowControl/>
        <w:shd w:val="clear" w:color="auto" w:fill="FFFFFF"/>
        <w:spacing w:line="240" w:lineRule="atLeast"/>
        <w:jc w:val="center"/>
        <w:rPr>
          <w:rFonts w:ascii="宋体" w:hAnsi="宋体" w:cs="宋体"/>
          <w:color w:val="auto"/>
          <w:kern w:val="0"/>
          <w:szCs w:val="21"/>
          <w:highlight w:val="none"/>
        </w:rPr>
      </w:pPr>
      <w:r>
        <w:rPr>
          <w:rFonts w:hint="eastAsia" w:ascii="宋体" w:hAnsi="宋体" w:cs="宋体"/>
          <w:b/>
          <w:bCs/>
          <w:color w:val="auto"/>
          <w:kern w:val="0"/>
          <w:szCs w:val="21"/>
          <w:highlight w:val="none"/>
        </w:rPr>
        <w:t>广西壮族自治区政府采购项目</w:t>
      </w:r>
      <w:r>
        <w:rPr>
          <w:rFonts w:hint="eastAsia" w:ascii="宋体" w:hAnsi="宋体" w:cs="宋体"/>
          <w:b/>
          <w:color w:val="auto"/>
          <w:kern w:val="0"/>
          <w:szCs w:val="21"/>
          <w:highlight w:val="none"/>
        </w:rPr>
        <w:t>合同验收书（格式）</w:t>
      </w:r>
    </w:p>
    <w:p>
      <w:pPr>
        <w:widowControl/>
        <w:shd w:val="clear" w:color="auto" w:fill="FFFFFF"/>
        <w:snapToGrid w:val="0"/>
        <w:spacing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项目名称  </w:t>
      </w:r>
      <w:r>
        <w:rPr>
          <w:rFonts w:hint="eastAsia" w:ascii="宋体" w:hAnsi="宋体" w:cs="宋体"/>
          <w:color w:val="auto"/>
          <w:kern w:val="0"/>
          <w:szCs w:val="21"/>
          <w:highlight w:val="none"/>
        </w:rPr>
        <w:t>）政府采购项目中标（或成交）供应商（</w:t>
      </w:r>
      <w:r>
        <w:rPr>
          <w:rFonts w:hint="eastAsia" w:ascii="宋体" w:hAnsi="宋体" w:cs="宋体"/>
          <w:color w:val="auto"/>
          <w:kern w:val="0"/>
          <w:szCs w:val="21"/>
          <w:highlight w:val="none"/>
          <w:u w:val="single"/>
        </w:rPr>
        <w:t>           公司名称             </w:t>
      </w:r>
      <w:r>
        <w:rPr>
          <w:rFonts w:hint="eastAsia" w:ascii="宋体" w:hAnsi="宋体" w:cs="宋体"/>
          <w:color w:val="auto"/>
          <w:kern w:val="0"/>
          <w:szCs w:val="21"/>
          <w:highlight w:val="none"/>
        </w:rPr>
        <w:t>）提供的货物（或工程、服务）进行了验收，验收情况如下：</w:t>
      </w:r>
    </w:p>
    <w:tbl>
      <w:tblPr>
        <w:tblStyle w:val="41"/>
        <w:tblW w:w="9457" w:type="dxa"/>
        <w:jc w:val="center"/>
        <w:tblLayout w:type="fixed"/>
        <w:tblCellMar>
          <w:top w:w="0" w:type="dxa"/>
          <w:left w:w="0" w:type="dxa"/>
          <w:bottom w:w="0" w:type="dxa"/>
          <w:right w:w="0" w:type="dxa"/>
        </w:tblCellMar>
      </w:tblPr>
      <w:tblGrid>
        <w:gridCol w:w="1037"/>
        <w:gridCol w:w="2163"/>
        <w:gridCol w:w="891"/>
        <w:gridCol w:w="2648"/>
        <w:gridCol w:w="219"/>
        <w:gridCol w:w="843"/>
        <w:gridCol w:w="1656"/>
      </w:tblGrid>
      <w:tr>
        <w:tblPrEx>
          <w:tblCellMar>
            <w:top w:w="0" w:type="dxa"/>
            <w:left w:w="0" w:type="dxa"/>
            <w:bottom w:w="0" w:type="dxa"/>
            <w:right w:w="0" w:type="dxa"/>
          </w:tblCellMar>
        </w:tblPrEx>
        <w:trPr>
          <w:trHeight w:val="497" w:hRule="atLeast"/>
          <w:jc w:val="center"/>
        </w:trPr>
        <w:tc>
          <w:tcPr>
            <w:tcW w:w="3200" w:type="dxa"/>
            <w:gridSpan w:val="2"/>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6257" w:type="dxa"/>
            <w:gridSpan w:val="5"/>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center"/>
              <w:rPr>
                <w:rFonts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tblPrEx>
          <w:tblCellMar>
            <w:top w:w="0" w:type="dxa"/>
            <w:left w:w="0" w:type="dxa"/>
            <w:bottom w:w="0" w:type="dxa"/>
            <w:right w:w="0" w:type="dxa"/>
          </w:tblCellMar>
        </w:tblPrEx>
        <w:trPr>
          <w:trHeight w:val="622"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 称</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货物型号规格、标准及配置等（或服务内容、标准）</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 额</w:t>
            </w:r>
          </w:p>
        </w:tc>
      </w:tr>
      <w:tr>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5"/>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487"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163"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53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487" w:hRule="atLeast"/>
          <w:jc w:val="center"/>
        </w:trPr>
        <w:tc>
          <w:tcPr>
            <w:tcW w:w="6739" w:type="dxa"/>
            <w:gridSpan w:val="4"/>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1062"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656"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641" w:hRule="atLeast"/>
          <w:jc w:val="center"/>
        </w:trPr>
        <w:tc>
          <w:tcPr>
            <w:tcW w:w="9457" w:type="dxa"/>
            <w:gridSpan w:val="7"/>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tblPrEx>
          <w:tblCellMar>
            <w:top w:w="0" w:type="dxa"/>
            <w:left w:w="0" w:type="dxa"/>
            <w:bottom w:w="0" w:type="dxa"/>
            <w:right w:w="0" w:type="dxa"/>
          </w:tblCellMar>
        </w:tblPrEx>
        <w:trPr>
          <w:trHeight w:val="641"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2"/>
              <w:jc w:val="left"/>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3054"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49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394" w:hRule="atLeast"/>
          <w:jc w:val="center"/>
        </w:trPr>
        <w:tc>
          <w:tcPr>
            <w:tcW w:w="1037"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054"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67"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9"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24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693" w:hRule="atLeast"/>
          <w:jc w:val="center"/>
        </w:trPr>
        <w:tc>
          <w:tcPr>
            <w:tcW w:w="103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420" w:type="dxa"/>
            <w:gridSpan w:val="6"/>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采购文件、投标响应文件及验收方案等进行验收；并核对中标或者成交供应商在安装调试等方面是否违反合同约定或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037"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420" w:type="dxa"/>
            <w:gridSpan w:val="6"/>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验收结论性意见：</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0" w:type="dxa"/>
            <w:bottom w:w="0" w:type="dxa"/>
            <w:right w:w="0" w:type="dxa"/>
          </w:tblCellMar>
        </w:tblPrEx>
        <w:trPr>
          <w:trHeight w:val="607" w:hRule="atLeast"/>
          <w:jc w:val="center"/>
        </w:trPr>
        <w:tc>
          <w:tcPr>
            <w:tcW w:w="1037"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Cs w:val="21"/>
                <w:highlight w:val="none"/>
              </w:rPr>
            </w:pPr>
          </w:p>
        </w:tc>
        <w:tc>
          <w:tcPr>
            <w:tcW w:w="8420" w:type="dxa"/>
            <w:gridSpan w:val="6"/>
            <w:tcBorders>
              <w:top w:val="nil"/>
              <w:left w:val="nil"/>
              <w:bottom w:val="single" w:color="auto" w:sz="8" w:space="0"/>
              <w:right w:val="single" w:color="auto" w:sz="8" w:space="0"/>
            </w:tcBorders>
            <w:vAlign w:val="center"/>
          </w:tcPr>
          <w:p>
            <w:pPr>
              <w:widowControl/>
              <w:spacing w:before="100" w:beforeAutospacing="1" w:after="100" w:afterAutospacing="1" w:line="240" w:lineRule="atLeast"/>
              <w:ind w:firstLine="96"/>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                                      签字：</w:t>
            </w:r>
          </w:p>
        </w:tc>
      </w:tr>
      <w:tr>
        <w:tblPrEx>
          <w:tblCellMar>
            <w:top w:w="0" w:type="dxa"/>
            <w:left w:w="0" w:type="dxa"/>
            <w:bottom w:w="0" w:type="dxa"/>
            <w:right w:w="0" w:type="dxa"/>
          </w:tblCellMar>
        </w:tblPrEx>
        <w:trPr>
          <w:trHeight w:val="507" w:hRule="atLeast"/>
          <w:jc w:val="center"/>
        </w:trPr>
        <w:tc>
          <w:tcPr>
            <w:tcW w:w="9457" w:type="dxa"/>
            <w:gridSpan w:val="7"/>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tblPrEx>
          <w:tblCellMar>
            <w:top w:w="0" w:type="dxa"/>
            <w:left w:w="0" w:type="dxa"/>
            <w:bottom w:w="0" w:type="dxa"/>
            <w:right w:w="0" w:type="dxa"/>
          </w:tblCellMar>
        </w:tblPrEx>
        <w:trPr>
          <w:trHeight w:val="736" w:hRule="atLeast"/>
          <w:jc w:val="center"/>
        </w:trPr>
        <w:tc>
          <w:tcPr>
            <w:tcW w:w="9457" w:type="dxa"/>
            <w:gridSpan w:val="7"/>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监督人员或其他相关人员签字：</w:t>
            </w:r>
          </w:p>
          <w:p>
            <w:pPr>
              <w:widowControl/>
              <w:spacing w:before="100" w:beforeAutospacing="1" w:after="100" w:afterAutospacing="1" w:line="24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或受邀机构的意见（盖章）：</w:t>
            </w:r>
          </w:p>
        </w:tc>
      </w:tr>
      <w:tr>
        <w:tblPrEx>
          <w:tblCellMar>
            <w:top w:w="0" w:type="dxa"/>
            <w:left w:w="0" w:type="dxa"/>
            <w:bottom w:w="0" w:type="dxa"/>
            <w:right w:w="0" w:type="dxa"/>
          </w:tblCellMar>
        </w:tblPrEx>
        <w:trPr>
          <w:trHeight w:val="1485" w:hRule="atLeast"/>
          <w:jc w:val="center"/>
        </w:trPr>
        <w:tc>
          <w:tcPr>
            <w:tcW w:w="4091"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中标或者成交供应商负责人签字或盖章：</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5366"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采购人或受托机构的意见（盖章）：</w:t>
            </w:r>
          </w:p>
          <w:p>
            <w:pPr>
              <w:widowControl/>
              <w:spacing w:before="100" w:beforeAutospacing="1" w:after="100" w:afterAutospacing="1" w:line="24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pPr>
        <w:pStyle w:val="23"/>
        <w:snapToGrid w:val="0"/>
        <w:spacing w:line="440" w:lineRule="exact"/>
        <w:rPr>
          <w:rFonts w:hAnsi="宋体" w:cs="宋体"/>
          <w:color w:val="auto"/>
          <w:highlight w:val="none"/>
        </w:rPr>
      </w:pPr>
    </w:p>
    <w:p>
      <w:pPr>
        <w:pStyle w:val="23"/>
        <w:snapToGrid w:val="0"/>
        <w:spacing w:line="440" w:lineRule="exact"/>
        <w:rPr>
          <w:rFonts w:hAnsi="宋体" w:cs="宋体"/>
          <w:color w:val="auto"/>
          <w:highlight w:val="none"/>
        </w:rPr>
      </w:pPr>
    </w:p>
    <w:p>
      <w:pPr>
        <w:pStyle w:val="23"/>
        <w:snapToGrid w:val="0"/>
        <w:spacing w:line="440" w:lineRule="exact"/>
        <w:rPr>
          <w:rFonts w:hAnsi="宋体" w:cs="宋体"/>
          <w:color w:val="auto"/>
          <w:highlight w:val="none"/>
        </w:rPr>
      </w:pPr>
    </w:p>
    <w:p>
      <w:pPr>
        <w:pStyle w:val="4"/>
        <w:spacing w:line="440" w:lineRule="exact"/>
        <w:jc w:val="center"/>
        <w:rPr>
          <w:rFonts w:ascii="宋体" w:hAnsi="宋体" w:cs="宋体"/>
          <w:color w:val="auto"/>
          <w:sz w:val="32"/>
          <w:szCs w:val="32"/>
          <w:highlight w:val="none"/>
        </w:rPr>
      </w:pPr>
      <w:bookmarkStart w:id="27" w:name="_Toc88747293"/>
      <w:r>
        <w:rPr>
          <w:rFonts w:hint="eastAsia" w:ascii="宋体" w:hAnsi="宋体" w:cs="宋体"/>
          <w:color w:val="auto"/>
          <w:sz w:val="32"/>
          <w:szCs w:val="32"/>
          <w:highlight w:val="none"/>
        </w:rPr>
        <w:t>第三章 项目采购需求</w:t>
      </w:r>
      <w:bookmarkEnd w:id="27"/>
    </w:p>
    <w:p>
      <w:pPr>
        <w:widowControl/>
        <w:spacing w:line="440" w:lineRule="exact"/>
        <w:outlineLvl w:val="0"/>
        <w:rPr>
          <w:rFonts w:ascii="宋体" w:hAnsi="宋体" w:cs="宋体"/>
          <w:color w:val="auto"/>
          <w:highlight w:val="none"/>
        </w:rPr>
      </w:pPr>
      <w:r>
        <w:rPr>
          <w:rFonts w:hint="eastAsia" w:ascii="宋体" w:hAnsi="宋体" w:cs="宋体"/>
          <w:b/>
          <w:color w:val="auto"/>
          <w:szCs w:val="21"/>
          <w:highlight w:val="none"/>
        </w:rPr>
        <w:t>说明：</w:t>
      </w:r>
      <w:r>
        <w:rPr>
          <w:rFonts w:hint="eastAsia" w:ascii="宋体" w:hAnsi="宋体" w:cs="宋体"/>
          <w:b/>
          <w:color w:val="auto"/>
          <w:szCs w:val="21"/>
          <w:highlight w:val="none"/>
        </w:rPr>
        <w:br w:type="textWrapping"/>
      </w:r>
      <w:r>
        <w:rPr>
          <w:rFonts w:hint="eastAsia" w:ascii="宋体" w:hAnsi="宋体" w:cs="宋体"/>
          <w:b/>
          <w:color w:val="auto"/>
          <w:highlight w:val="none"/>
        </w:rPr>
        <w:t>▲一、</w:t>
      </w:r>
      <w:r>
        <w:rPr>
          <w:rFonts w:hint="eastAsia" w:ascii="宋体" w:hAnsi="宋体" w:cs="宋体"/>
          <w:color w:val="auto"/>
          <w:highlight w:val="none"/>
        </w:rPr>
        <w:t>本需求表中标注“▲”的条款均为实质性要求或条件，供应商必须作出满足或者优于该要求和条件的承诺（另有要求的除外），否则投标无效。未标注“▲”的</w:t>
      </w:r>
      <w:bookmarkStart w:id="28" w:name="OLE_LINK2"/>
      <w:r>
        <w:rPr>
          <w:rFonts w:hint="eastAsia" w:ascii="宋体" w:hAnsi="宋体" w:cs="宋体"/>
          <w:color w:val="auto"/>
          <w:highlight w:val="none"/>
        </w:rPr>
        <w:t>条款发生负偏离或不响应</w:t>
      </w:r>
      <w:bookmarkEnd w:id="28"/>
      <w:r>
        <w:rPr>
          <w:rFonts w:hint="eastAsia" w:ascii="宋体" w:hAnsi="宋体" w:cs="宋体"/>
          <w:color w:val="auto"/>
          <w:highlight w:val="none"/>
        </w:rPr>
        <w:t>达</w:t>
      </w:r>
      <w:r>
        <w:rPr>
          <w:rFonts w:hint="eastAsia" w:ascii="宋体" w:hAnsi="宋体" w:cs="宋体"/>
          <w:color w:val="auto"/>
          <w:highlight w:val="none"/>
          <w:lang w:val="en-US" w:eastAsia="zh-CN"/>
        </w:rPr>
        <w:t xml:space="preserve"> </w:t>
      </w:r>
      <w:r>
        <w:rPr>
          <w:rFonts w:hint="eastAsia" w:ascii="宋体" w:hAnsi="宋体" w:cs="宋体"/>
          <w:color w:val="auto"/>
          <w:highlight w:val="none"/>
          <w:u w:val="single"/>
          <w:lang w:val="en-US" w:eastAsia="zh-CN"/>
        </w:rPr>
        <w:t>3</w:t>
      </w:r>
      <w:r>
        <w:rPr>
          <w:rFonts w:hint="eastAsia" w:ascii="宋体" w:hAnsi="宋体" w:cs="宋体"/>
          <w:color w:val="auto"/>
          <w:highlight w:val="none"/>
          <w:u w:val="single"/>
        </w:rPr>
        <w:t xml:space="preserve"> </w:t>
      </w:r>
      <w:r>
        <w:rPr>
          <w:rFonts w:hint="eastAsia" w:ascii="宋体" w:hAnsi="宋体" w:cs="宋体"/>
          <w:color w:val="auto"/>
          <w:highlight w:val="none"/>
        </w:rPr>
        <w:t>项（含）以上的，</w:t>
      </w:r>
      <w:r>
        <w:rPr>
          <w:rFonts w:hint="eastAsia" w:ascii="宋体" w:hAnsi="宋体" w:cs="宋体"/>
          <w:b/>
          <w:bCs/>
          <w:color w:val="auto"/>
          <w:szCs w:val="21"/>
          <w:highlight w:val="none"/>
        </w:rPr>
        <w:t>响应文件按无效处理</w:t>
      </w:r>
      <w:r>
        <w:rPr>
          <w:rFonts w:hint="eastAsia" w:ascii="宋体" w:hAnsi="宋体" w:cs="宋体"/>
          <w:color w:val="auto"/>
          <w:highlight w:val="none"/>
        </w:rPr>
        <w:t>。</w:t>
      </w:r>
    </w:p>
    <w:p>
      <w:pPr>
        <w:spacing w:line="440" w:lineRule="exact"/>
        <w:rPr>
          <w:rFonts w:ascii="宋体" w:hAnsi="宋体" w:cs="宋体"/>
          <w:b/>
          <w:color w:val="auto"/>
          <w:szCs w:val="21"/>
          <w:highlight w:val="none"/>
        </w:rPr>
      </w:pPr>
      <w:r>
        <w:rPr>
          <w:rFonts w:hint="eastAsia" w:ascii="宋体" w:hAnsi="宋体" w:cs="宋体"/>
          <w:b/>
          <w:color w:val="auto"/>
          <w:highlight w:val="none"/>
        </w:rPr>
        <w:t>▲二、</w:t>
      </w:r>
      <w:r>
        <w:rPr>
          <w:rFonts w:hint="eastAsia" w:ascii="宋体" w:hAnsi="宋体" w:cs="宋体"/>
          <w:color w:val="auto"/>
          <w:szCs w:val="21"/>
          <w:highlight w:val="none"/>
        </w:rPr>
        <w:t>服务项目中包含货物的，根据《财政部发展改革委生态环境部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有效期内的节能产品认证证书复印件（加盖供应商公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。如本项目包含的配套货物属于品目清单内非标注“★”的产品时，应优先采购，具体详见“第四章评审程序、评审方法和评审标准”。</w:t>
      </w:r>
    </w:p>
    <w:p>
      <w:pPr>
        <w:spacing w:line="440" w:lineRule="exact"/>
        <w:rPr>
          <w:rFonts w:ascii="宋体" w:hAnsi="宋体" w:cs="宋体"/>
          <w:color w:val="auto"/>
          <w:highlight w:val="none"/>
        </w:rPr>
      </w:pPr>
      <w:r>
        <w:rPr>
          <w:rFonts w:hint="eastAsia" w:ascii="宋体" w:hAnsi="宋体" w:cs="宋体"/>
          <w:color w:val="auto"/>
          <w:highlight w:val="none"/>
        </w:rPr>
        <w:t>▲三、服务项目中包含货物的，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pPr>
        <w:widowControl/>
        <w:spacing w:line="440" w:lineRule="exact"/>
        <w:jc w:val="left"/>
        <w:rPr>
          <w:rFonts w:ascii="宋体" w:hAnsi="宋体" w:cs="宋体"/>
          <w:color w:val="auto"/>
          <w:kern w:val="0"/>
          <w:sz w:val="24"/>
          <w:highlight w:val="none"/>
        </w:rPr>
      </w:pPr>
    </w:p>
    <w:p>
      <w:pPr>
        <w:widowControl/>
        <w:spacing w:line="440" w:lineRule="exact"/>
        <w:jc w:val="left"/>
        <w:rPr>
          <w:rFonts w:ascii="宋体" w:hAnsi="宋体" w:cs="宋体"/>
          <w:color w:val="auto"/>
          <w:kern w:val="0"/>
          <w:sz w:val="24"/>
          <w:highlight w:val="none"/>
        </w:rPr>
      </w:pPr>
    </w:p>
    <w:p>
      <w:pPr>
        <w:rPr>
          <w:rFonts w:ascii="宋体" w:hAnsi="宋体" w:cs="宋体"/>
          <w:color w:val="auto"/>
          <w:highlight w:val="none"/>
        </w:rPr>
      </w:pPr>
      <w:r>
        <w:rPr>
          <w:rFonts w:hint="eastAsia" w:ascii="宋体" w:hAnsi="宋体" w:cs="宋体"/>
          <w:color w:val="auto"/>
          <w:kern w:val="0"/>
          <w:sz w:val="24"/>
          <w:highlight w:val="none"/>
        </w:rPr>
        <w:br w:type="page"/>
      </w: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原标项一</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355"/>
        <w:gridCol w:w="90"/>
        <w:gridCol w:w="906"/>
        <w:gridCol w:w="762"/>
        <w:gridCol w:w="6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55" w:type="dxa"/>
            <w:vAlign w:val="center"/>
          </w:tcPr>
          <w:p>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96" w:type="dxa"/>
            <w:gridSpan w:val="2"/>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62"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355"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广西农药数字监管平台运维服务</w:t>
            </w:r>
          </w:p>
        </w:tc>
        <w:tc>
          <w:tcPr>
            <w:tcW w:w="996" w:type="dxa"/>
            <w:gridSpan w:val="2"/>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762"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pPr>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提供维护服务，建设运行维护管理体系、制度规范，并明确服务对象、服务内容，保证广西农药数字监管平台的正常运营。</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（一）广西农药数字监管平台软件系统运维服务</w:t>
            </w:r>
          </w:p>
          <w:p>
            <w:pPr>
              <w:spacing w:line="440" w:lineRule="exact"/>
              <w:ind w:firstLine="420" w:firstLineChars="200"/>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包括日常</w:t>
            </w:r>
            <w:r>
              <w:rPr>
                <w:rFonts w:hint="eastAsia" w:ascii="宋体" w:hAnsi="宋体" w:eastAsia="宋体" w:cs="宋体"/>
                <w:color w:val="auto"/>
                <w:szCs w:val="21"/>
                <w:highlight w:val="none"/>
                <w:lang w:eastAsia="zh-CN"/>
              </w:rPr>
              <w:t>工作</w:t>
            </w:r>
            <w:r>
              <w:rPr>
                <w:rFonts w:hint="eastAsia" w:ascii="宋体" w:hAnsi="宋体" w:eastAsia="宋体" w:cs="宋体"/>
                <w:color w:val="auto"/>
                <w:szCs w:val="21"/>
                <w:highlight w:val="none"/>
              </w:rPr>
              <w:t>运维服务、系统故障处理</w:t>
            </w:r>
            <w:r>
              <w:rPr>
                <w:rFonts w:hint="eastAsia" w:ascii="宋体" w:hAnsi="宋体" w:eastAsia="宋体" w:cs="宋体"/>
                <w:color w:val="auto"/>
                <w:szCs w:val="21"/>
                <w:highlight w:val="none"/>
                <w:lang w:eastAsia="zh-CN"/>
              </w:rPr>
              <w:t>、服务器运行状况监控和管理、进行缺陷处理、环境变更处理、软件重新安装服务、数据检查、处理与加工服务、系统账号服务</w:t>
            </w:r>
            <w:r>
              <w:rPr>
                <w:rFonts w:hint="eastAsia" w:ascii="宋体" w:hAnsi="宋体" w:eastAsia="宋体" w:cs="宋体"/>
                <w:color w:val="auto"/>
                <w:szCs w:val="21"/>
                <w:highlight w:val="none"/>
              </w:rPr>
              <w:t>等。</w:t>
            </w:r>
            <w:r>
              <w:rPr>
                <w:rFonts w:hint="eastAsia" w:ascii="宋体" w:hAnsi="宋体" w:eastAsia="宋体" w:cs="宋体"/>
                <w:b/>
                <w:bCs/>
                <w:color w:val="auto"/>
                <w:szCs w:val="21"/>
                <w:highlight w:val="none"/>
              </w:rPr>
              <w:t>具体需求：广西农药进销存台账软件在合同服务期间开放新用户免费注册，并对新用户进销存台账数据进行维护。</w:t>
            </w:r>
          </w:p>
          <w:p>
            <w:pPr>
              <w:spacing w:line="440" w:lineRule="exact"/>
              <w:ind w:firstLine="422" w:firstLineChars="200"/>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系统故障处理</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val="0"/>
                <w:bCs w:val="0"/>
                <w:color w:val="auto"/>
                <w:szCs w:val="21"/>
                <w:highlight w:val="none"/>
                <w:lang w:eastAsia="zh-CN"/>
              </w:rPr>
              <w:t>对于系统运行过程的异常进行原因分析和故障排除，以恢复业务优先，及时对存在的缺陷进行处理。平台包含平台门户、农药登记试验单位数据填报系统、农药生产企业数据填报系统、广西农资进销存系统、数据上报接口服务等5子系统，涉及功能点约1000个。</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2.服务器运行状况监控和管理。</w:t>
            </w:r>
            <w:r>
              <w:rPr>
                <w:rFonts w:hint="eastAsia" w:ascii="Times New Roman" w:hAnsi="Times New Roman" w:eastAsia="宋体" w:cs="Times New Roman"/>
                <w:b w:val="0"/>
                <w:bCs w:val="0"/>
                <w:color w:val="auto"/>
                <w:szCs w:val="21"/>
                <w:highlight w:val="none"/>
                <w:lang w:val="en-US" w:eastAsia="zh-CN"/>
              </w:rPr>
              <w:t>对网络设备、服务器设备、操作系统、应用系统运行状况进行监控和管理，保证系统正常使用。平台包含2台服务器、5个应用程序服务、3个数据库。运行状况监控和管理主要是对服务器软硬件及网络环境进行定期、不定期地监控与维护管理，包括：服务器操作系统运行状态监控（CPU负载率、内存占用率等）、服务器日志监控（主要包括操作系统日志、应用程序日志、安全日志）、相关服务运行状态监控（数据库服务、中间件服务等）、进程监控、漏洞修复管理、网络状态监控、硬件状态监控、信息系统软硬件运行故障处理记录、数据库运行状态。</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3.进行缺陷处理。</w:t>
            </w:r>
            <w:r>
              <w:rPr>
                <w:rFonts w:hint="eastAsia" w:ascii="Times New Roman" w:hAnsi="Times New Roman" w:eastAsia="宋体" w:cs="Times New Roman"/>
                <w:b w:val="0"/>
                <w:bCs w:val="0"/>
                <w:color w:val="auto"/>
                <w:szCs w:val="21"/>
                <w:highlight w:val="none"/>
                <w:lang w:val="en-US" w:eastAsia="zh-CN"/>
              </w:rPr>
              <w:t>现有系统存在的问题，提供修复和避免措施的服务。</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4.环境变更处理。</w:t>
            </w:r>
            <w:r>
              <w:rPr>
                <w:rFonts w:hint="eastAsia" w:ascii="Times New Roman" w:hAnsi="Times New Roman" w:eastAsia="宋体" w:cs="Times New Roman"/>
                <w:b w:val="0"/>
                <w:bCs w:val="0"/>
                <w:color w:val="auto"/>
                <w:szCs w:val="21"/>
                <w:highlight w:val="none"/>
                <w:lang w:val="en-US" w:eastAsia="zh-CN"/>
              </w:rPr>
              <w:t>提供系统环境变更服务，包括系统迁移。</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5.软件重新安装服务。</w:t>
            </w:r>
            <w:r>
              <w:rPr>
                <w:rFonts w:hint="eastAsia" w:ascii="Times New Roman" w:hAnsi="Times New Roman" w:eastAsia="宋体" w:cs="Times New Roman"/>
                <w:b w:val="0"/>
                <w:bCs w:val="0"/>
                <w:color w:val="auto"/>
                <w:szCs w:val="21"/>
                <w:highlight w:val="none"/>
                <w:lang w:val="en-US" w:eastAsia="zh-CN"/>
              </w:rPr>
              <w:t>提供软件重装服务，实现软件的升级、适配。</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6.提供数据检查与处理服务。</w:t>
            </w:r>
            <w:r>
              <w:rPr>
                <w:rFonts w:hint="eastAsia" w:ascii="Times New Roman" w:hAnsi="Times New Roman" w:eastAsia="宋体" w:cs="Times New Roman"/>
                <w:b w:val="0"/>
                <w:bCs w:val="0"/>
                <w:color w:val="auto"/>
                <w:szCs w:val="21"/>
                <w:highlight w:val="none"/>
                <w:lang w:val="en-US" w:eastAsia="zh-CN"/>
              </w:rPr>
              <w:t>对异常数据进行修正处理。</w:t>
            </w:r>
          </w:p>
          <w:p>
            <w:pPr>
              <w:spacing w:line="440" w:lineRule="exact"/>
              <w:ind w:firstLine="422" w:firstLineChars="200"/>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7.提供数据加工服务。</w:t>
            </w:r>
            <w:r>
              <w:rPr>
                <w:rFonts w:hint="eastAsia" w:ascii="Times New Roman" w:hAnsi="Times New Roman" w:eastAsia="宋体" w:cs="Times New Roman"/>
                <w:b w:val="0"/>
                <w:bCs w:val="0"/>
                <w:color w:val="auto"/>
                <w:szCs w:val="21"/>
                <w:highlight w:val="none"/>
                <w:lang w:val="en-US" w:eastAsia="zh-CN"/>
              </w:rPr>
              <w:t>根据用户需求对原有数据进行加工处理，增加计算指标，形成分析报告，实现数据的分析和导出。</w:t>
            </w:r>
          </w:p>
          <w:p>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8.系统账号服务。</w:t>
            </w:r>
            <w:r>
              <w:rPr>
                <w:rFonts w:hint="eastAsia" w:ascii="Times New Roman" w:hAnsi="Times New Roman" w:eastAsia="宋体" w:cs="Times New Roman"/>
                <w:b w:val="0"/>
                <w:bCs w:val="0"/>
                <w:color w:val="auto"/>
                <w:szCs w:val="21"/>
                <w:highlight w:val="none"/>
                <w:lang w:val="en-US" w:eastAsia="zh-CN"/>
              </w:rPr>
              <w:t>提供账号处理快速响应服务，包括用户账号的新增、修改、密码重置等服务。</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（二）广西农药数字监管平台软件系统应用系统安全服务</w:t>
            </w:r>
          </w:p>
          <w:p>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在平台运行维护阶段，实施风险评估以识别系统面临的不断变化的风险和脆弱性，并通过有效的安全措施干预，确保平台系统能够应对安全风险。项目平台要保证用户数据传输、使用、储存等过程的安全。</w:t>
            </w:r>
          </w:p>
          <w:p>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1.安全监控。</w:t>
            </w:r>
            <w:r>
              <w:rPr>
                <w:rFonts w:hint="default" w:ascii="Times New Roman" w:hAnsi="Times New Roman" w:eastAsia="宋体" w:cs="Times New Roman"/>
                <w:color w:val="auto"/>
                <w:szCs w:val="21"/>
                <w:highlight w:val="none"/>
                <w:lang w:val="en-US" w:eastAsia="zh-CN"/>
              </w:rPr>
              <w:t>根据风险评估结果进行系统安全调优服务，根据系统运行需要实时调整各类设备及系统配置、合理规划系统资源、消除系统漏洞，提高系统稳定性和可靠性。</w:t>
            </w:r>
          </w:p>
          <w:p>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2.主动安全加固服务。</w:t>
            </w:r>
            <w:r>
              <w:rPr>
                <w:rFonts w:hint="default" w:ascii="Times New Roman" w:hAnsi="Times New Roman" w:eastAsia="宋体" w:cs="Times New Roman"/>
                <w:color w:val="auto"/>
                <w:szCs w:val="21"/>
                <w:highlight w:val="none"/>
                <w:lang w:val="en-US" w:eastAsia="zh-CN"/>
              </w:rPr>
              <w:t>在未出现安全事故之前就对已经通报或者暴露出来的软件漏洞或最新病毒库更新，就主动进计划的升级和改进，从而避免出现安全事故</w:t>
            </w:r>
            <w:r>
              <w:rPr>
                <w:rFonts w:hint="eastAsia" w:ascii="Times New Roman" w:hAnsi="Times New Roman" w:eastAsia="宋体" w:cs="Times New Roman"/>
                <w:color w:val="auto"/>
                <w:szCs w:val="21"/>
                <w:highlight w:val="none"/>
                <w:lang w:val="en-US" w:eastAsia="zh-CN"/>
              </w:rPr>
              <w:t>。</w:t>
            </w:r>
          </w:p>
          <w:p>
            <w:pPr>
              <w:spacing w:line="440" w:lineRule="exact"/>
              <w:ind w:firstLine="422" w:firstLineChars="200"/>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3.网络安全监控服务。</w:t>
            </w:r>
            <w:r>
              <w:rPr>
                <w:rFonts w:hint="eastAsia" w:ascii="Times New Roman" w:hAnsi="Times New Roman" w:eastAsia="宋体" w:cs="Times New Roman"/>
                <w:color w:val="auto"/>
                <w:szCs w:val="21"/>
                <w:highlight w:val="none"/>
                <w:lang w:val="en-US" w:eastAsia="zh-CN"/>
              </w:rPr>
              <w:t>对服务内容进行监控，在安全环境发生变化时，及时更新安全策略，在现有设备和网络情况有改变的时候，快速制定针对更新后设备华景的安全策略，并实施部署，避免因外部环境变更带来的安全风险。</w:t>
            </w:r>
          </w:p>
          <w:p>
            <w:pPr>
              <w:spacing w:line="440" w:lineRule="exact"/>
              <w:ind w:firstLine="422" w:firstLineChars="200"/>
              <w:rPr>
                <w:rFonts w:hint="default" w:ascii="宋体" w:hAnsi="宋体" w:eastAsia="宋体" w:cs="宋体"/>
                <w:color w:val="auto"/>
                <w:szCs w:val="21"/>
                <w:highlight w:val="none"/>
                <w:lang w:val="en-US" w:eastAsia="zh-CN"/>
              </w:rPr>
            </w:pPr>
            <w:r>
              <w:rPr>
                <w:rFonts w:hint="eastAsia" w:ascii="Times New Roman" w:hAnsi="Times New Roman" w:eastAsia="宋体" w:cs="Times New Roman"/>
                <w:b/>
                <w:bCs/>
                <w:color w:val="auto"/>
                <w:szCs w:val="21"/>
                <w:highlight w:val="none"/>
                <w:lang w:val="en-US" w:eastAsia="zh-CN"/>
              </w:rPr>
              <w:t>4.数据/存储/容灾服务。</w:t>
            </w:r>
            <w:r>
              <w:rPr>
                <w:rFonts w:hint="eastAsia" w:ascii="Times New Roman" w:hAnsi="Times New Roman" w:eastAsia="宋体" w:cs="Times New Roman"/>
                <w:color w:val="auto"/>
                <w:szCs w:val="21"/>
                <w:highlight w:val="none"/>
                <w:lang w:val="en-US" w:eastAsia="zh-CN"/>
              </w:rPr>
              <w:t>对系统和业务数据进行统一存储、备份和恢复。目前广西农药数字监管平台数据量约为3000万，预计每年增加800万。</w:t>
            </w:r>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）广西农药数字监管平台软件系统调优</w:t>
            </w:r>
            <w:r>
              <w:rPr>
                <w:rFonts w:hint="eastAsia" w:ascii="宋体" w:hAnsi="宋体" w:eastAsia="宋体" w:cs="宋体"/>
                <w:color w:val="auto"/>
                <w:szCs w:val="21"/>
                <w:highlight w:val="none"/>
                <w:lang w:eastAsia="zh-CN"/>
              </w:rPr>
              <w:t>服务</w:t>
            </w:r>
          </w:p>
          <w:p>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eastAsia"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提供功能优化服务。</w:t>
            </w:r>
            <w:r>
              <w:rPr>
                <w:rFonts w:hint="default" w:ascii="Times New Roman" w:hAnsi="Times New Roman" w:eastAsia="宋体" w:cs="Times New Roman"/>
                <w:color w:val="auto"/>
                <w:szCs w:val="21"/>
                <w:highlight w:val="none"/>
              </w:rPr>
              <w:t>增强系统功能，提升数据填报、数据治理、数据服务、数据应用、系统运维的便利性、全面性、准确性。对系统部分模块进行调优</w:t>
            </w:r>
            <w:r>
              <w:rPr>
                <w:rFonts w:hint="default" w:ascii="Times New Roman" w:hAnsi="Times New Roman" w:eastAsia="宋体" w:cs="Times New Roman"/>
                <w:color w:val="auto"/>
                <w:szCs w:val="21"/>
                <w:highlight w:val="none"/>
                <w:lang w:eastAsia="zh-CN"/>
              </w:rPr>
              <w:t>。</w:t>
            </w:r>
          </w:p>
          <w:p>
            <w:pPr>
              <w:spacing w:line="440" w:lineRule="exact"/>
              <w:ind w:firstLine="422" w:firstLineChars="200"/>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具体需求：</w:t>
            </w:r>
          </w:p>
          <w:p>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（1）新增功能：支持导出全区范围内经过条件筛选的农药进销存台账数据；</w:t>
            </w:r>
          </w:p>
          <w:p>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（2）优化台账补录机制：将补充登记时限由原30天延长至365天，提升台账管理灵活性。</w:t>
            </w:r>
          </w:p>
          <w:p>
            <w:pPr>
              <w:spacing w:line="440" w:lineRule="exact"/>
              <w:ind w:firstLine="422" w:firstLineChars="200"/>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（3）完善账号注册规范：强制使用农药经营许可证号作为注册账号，并将统一社会信用代码设为唯一标识字段，防止出现同一营业执照办理多张经营许可证或者同一许可证注册多个系统账号；</w:t>
            </w:r>
          </w:p>
          <w:p>
            <w:pPr>
              <w:spacing w:line="440" w:lineRule="exact"/>
              <w:ind w:firstLine="422"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（4）强化限用农药销售登记要求，必填字段包括：销售农药名称，数量，时间，购买人姓名、身份证号码、电话号码、施用对象；</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）广西农药数字监管平台数据技术支持服务</w:t>
            </w:r>
          </w:p>
          <w:p>
            <w:pPr>
              <w:spacing w:line="44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由于平台系统所面对的是广西全区的农药生产经营和监管用户，平台的庞大性、复杂性和集成性，使得系统的售后服务在实施中显得非常重要。需要专业的技术团队提供技术服务支持，满足各系统用户日常需用中的技术协助需求。</w:t>
            </w:r>
          </w:p>
          <w:p>
            <w:pPr>
              <w:spacing w:line="440" w:lineRule="exact"/>
              <w:ind w:firstLine="422"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技术支持服务</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color w:val="auto"/>
                <w:szCs w:val="21"/>
                <w:highlight w:val="none"/>
              </w:rPr>
              <w:t>提供远程客服服务，为使用部门提供电话咨询、即时通讯工具咨询、远程技术服务、现场服务。广西农药数字监管平台用户包括农业农村厅处室、直属机关单位、农药生产企业、农药登记试验单位、农药经营单位、农药使用单位用户，用户数约2万个。</w:t>
            </w:r>
          </w:p>
          <w:p>
            <w:pPr>
              <w:spacing w:line="440" w:lineRule="exact"/>
              <w:ind w:firstLine="422" w:firstLineChars="20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2.技术咨询服务。</w:t>
            </w:r>
            <w:r>
              <w:rPr>
                <w:rFonts w:hint="default" w:ascii="Times New Roman" w:hAnsi="Times New Roman" w:eastAsia="宋体" w:cs="Times New Roman"/>
                <w:color w:val="auto"/>
                <w:szCs w:val="21"/>
                <w:highlight w:val="none"/>
                <w:lang w:val="en-US" w:eastAsia="zh-CN"/>
              </w:rPr>
              <w:t>为系统的技术分析、升级改造提供技术咨询支持，为信息化项目提供咨询服务，协助信息中心到各个部门调研需求并提供相应的需求报告。保证广西农药数字监管系统的数据上报接口稳定运行，协助第三方软件服务商完成平台技术对接和数据上报，为区、市、县农业农村部门及农药生产经营企业提供平台技术咨询服务。</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五</w:t>
            </w:r>
            <w:r>
              <w:rPr>
                <w:rFonts w:hint="eastAsia" w:ascii="宋体" w:hAnsi="宋体" w:eastAsia="宋体" w:cs="宋体"/>
                <w:color w:val="auto"/>
                <w:szCs w:val="21"/>
                <w:highlight w:val="none"/>
              </w:rPr>
              <w:t>）广西农药数字监管平台数据对接服务</w:t>
            </w:r>
          </w:p>
          <w:p>
            <w:pPr>
              <w:spacing w:line="440" w:lineRule="exact"/>
              <w:ind w:firstLine="422" w:firstLineChars="20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1.数据对接服务。</w:t>
            </w:r>
            <w:r>
              <w:rPr>
                <w:rFonts w:hint="default" w:ascii="Times New Roman" w:hAnsi="Times New Roman" w:eastAsia="宋体" w:cs="Times New Roman"/>
                <w:color w:val="auto"/>
                <w:szCs w:val="21"/>
                <w:highlight w:val="none"/>
              </w:rPr>
              <w:t>与第三方台账软件服务商对接平台数据对接服务接口，协助完成技术对接和数据上报。</w:t>
            </w:r>
            <w:r>
              <w:rPr>
                <w:rFonts w:hint="default" w:ascii="Times New Roman" w:hAnsi="Times New Roman" w:eastAsia="宋体" w:cs="Times New Roman"/>
                <w:color w:val="auto"/>
                <w:szCs w:val="21"/>
                <w:highlight w:val="none"/>
                <w:lang w:eastAsia="zh-CN"/>
              </w:rPr>
              <w:t>同时，提供数据接口，对接大数据局。</w:t>
            </w:r>
          </w:p>
          <w:p>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（六）广西农药数字监管平台用户培训服务</w:t>
            </w:r>
          </w:p>
          <w:p>
            <w:pPr>
              <w:spacing w:line="440" w:lineRule="exact"/>
              <w:ind w:firstLine="422" w:firstLineChars="200"/>
              <w:rPr>
                <w:rFonts w:ascii="宋体" w:hAnsi="宋体" w:cs="宋体"/>
                <w:color w:val="auto"/>
                <w:szCs w:val="21"/>
                <w:highlight w:val="none"/>
              </w:rPr>
            </w:pPr>
            <w:r>
              <w:rPr>
                <w:rFonts w:hint="default" w:ascii="Times New Roman" w:hAnsi="Times New Roman" w:eastAsia="宋体" w:cs="Times New Roman"/>
                <w:b/>
                <w:bCs/>
                <w:color w:val="auto"/>
                <w:szCs w:val="21"/>
                <w:highlight w:val="none"/>
                <w:lang w:val="en-US" w:eastAsia="zh-CN"/>
              </w:rPr>
              <w:t>1.操作人员培训</w:t>
            </w:r>
            <w:r>
              <w:rPr>
                <w:rFonts w:hint="eastAsia" w:ascii="Times New Roman" w:hAnsi="Times New Roman" w:eastAsia="宋体" w:cs="Times New Roman"/>
                <w:b/>
                <w:bCs/>
                <w:color w:val="auto"/>
                <w:szCs w:val="21"/>
                <w:highlight w:val="none"/>
                <w:lang w:val="en-US" w:eastAsia="zh-CN"/>
              </w:rPr>
              <w:t>服务</w:t>
            </w:r>
            <w:r>
              <w:rPr>
                <w:rFonts w:hint="default" w:ascii="Times New Roman" w:hAnsi="Times New Roman" w:eastAsia="宋体" w:cs="Times New Roman"/>
                <w:b/>
                <w:bCs/>
                <w:color w:val="auto"/>
                <w:szCs w:val="21"/>
                <w:highlight w:val="none"/>
                <w:lang w:val="en-US" w:eastAsia="zh-CN"/>
              </w:rPr>
              <w:t>。</w:t>
            </w:r>
            <w:r>
              <w:rPr>
                <w:rFonts w:hint="default" w:ascii="Times New Roman" w:hAnsi="Times New Roman" w:eastAsia="宋体" w:cs="Times New Roman"/>
                <w:b w:val="0"/>
                <w:bCs w:val="0"/>
                <w:color w:val="auto"/>
                <w:szCs w:val="21"/>
                <w:highlight w:val="none"/>
                <w:lang w:val="en-US" w:eastAsia="zh-CN"/>
              </w:rPr>
              <w:t>相关业务部门由于人员变换需要培训的由公司安排技术人员培训指导，同时负责系统现有用户应用层面的普及性技术与使用培训服务。采用线上培训与线下培训相结合的形式，培训对象包括管理人员、各行政区划业务人员、生产经营企业用户</w:t>
            </w:r>
            <w:r>
              <w:rPr>
                <w:rFonts w:hint="default" w:ascii="Times New Roman" w:hAnsi="Times New Roman" w:eastAsia="宋体" w:cs="Times New Roman"/>
                <w:b w:val="0"/>
                <w:bCs w:val="0"/>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bookmarkStart w:id="29" w:name="OLE_LINK1" w:colFirst="0" w:colLast="1"/>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1.合同履行期限：自合同签订之日起1年；</w:t>
            </w:r>
          </w:p>
          <w:p>
            <w:pPr>
              <w:pStyle w:val="19"/>
              <w:spacing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color w:val="auto"/>
                <w:szCs w:val="21"/>
                <w:highlight w:val="none"/>
              </w:rPr>
            </w:pPr>
            <w:bookmarkStart w:id="30" w:name="OLE_LINK76"/>
            <w:r>
              <w:rPr>
                <w:rFonts w:hint="eastAsia" w:ascii="宋体" w:hAnsi="宋体" w:cs="宋体"/>
                <w:bCs/>
                <w:color w:val="auto"/>
                <w:szCs w:val="21"/>
                <w:highlight w:val="none"/>
              </w:rPr>
              <w:t>采购人应于合同签订后20个工作日内，向成交供应商支付30%的合同款;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3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▲售后服务</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auto"/>
                <w:szCs w:val="21"/>
                <w:highlight w:val="none"/>
              </w:rPr>
            </w:pPr>
            <w:bookmarkStart w:id="31" w:name="OLE_LINK77"/>
            <w:r>
              <w:rPr>
                <w:rFonts w:hint="eastAsia" w:ascii="宋体" w:hAnsi="宋体" w:cs="宋体"/>
                <w:color w:val="auto"/>
                <w:szCs w:val="21"/>
                <w:highlight w:val="none"/>
              </w:rPr>
              <w:t>1.售后服务：</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44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（2）服务期内提供7×24小时电话技术支持（包含电话、邮件、远程桌面支持等）</w:t>
            </w:r>
            <w:r>
              <w:rPr>
                <w:rFonts w:hint="eastAsia" w:ascii="宋体" w:hAnsi="宋体" w:cs="宋体"/>
                <w:color w:val="auto"/>
                <w:szCs w:val="21"/>
                <w:highlight w:val="none"/>
                <w:lang w:eastAsia="zh-CN"/>
              </w:rPr>
              <w:t>；</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（3）接到故障通知后，工作日2小时内到现场，非工作日时间4小时内到达现场。</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3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pPr>
              <w:pStyle w:val="213"/>
              <w:spacing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p>
        </w:tc>
      </w:tr>
      <w:bookmarkEnd w:id="29"/>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原标项二</w:t>
      </w:r>
    </w:p>
    <w:tbl>
      <w:tblPr>
        <w:tblStyle w:val="41"/>
        <w:tblW w:w="108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1111"/>
        <w:gridCol w:w="588"/>
        <w:gridCol w:w="300"/>
        <w:gridCol w:w="699"/>
        <w:gridCol w:w="74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6"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111" w:type="dxa"/>
            <w:vAlign w:val="center"/>
          </w:tcPr>
          <w:p>
            <w:pPr>
              <w:tabs>
                <w:tab w:val="left" w:pos="180"/>
                <w:tab w:val="left" w:pos="1620"/>
              </w:tabs>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888" w:type="dxa"/>
            <w:gridSpan w:val="2"/>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699"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7497" w:type="dxa"/>
            <w:vAlign w:val="center"/>
          </w:tcPr>
          <w:p>
            <w:pPr>
              <w:tabs>
                <w:tab w:val="left" w:pos="180"/>
                <w:tab w:val="left" w:pos="1620"/>
              </w:tabs>
              <w:spacing w:line="32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6"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111"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广西农业农村厅协同办公系统平台运维服务</w:t>
            </w:r>
          </w:p>
        </w:tc>
        <w:tc>
          <w:tcPr>
            <w:tcW w:w="888" w:type="dxa"/>
            <w:gridSpan w:val="2"/>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699" w:type="dxa"/>
            <w:vAlign w:val="center"/>
          </w:tcPr>
          <w:p>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7497" w:type="dxa"/>
            <w:vAlign w:val="center"/>
          </w:tcPr>
          <w:tbl>
            <w:tblPr>
              <w:tblStyle w:val="41"/>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398"/>
              <w:gridCol w:w="5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序号</w:t>
                  </w:r>
                </w:p>
              </w:tc>
              <w:tc>
                <w:tcPr>
                  <w:tcW w:w="996"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运维服务子项目/子系统</w:t>
                  </w:r>
                </w:p>
              </w:tc>
              <w:tc>
                <w:tcPr>
                  <w:tcW w:w="3582"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主要运维服务内容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1</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驻场服务</w:t>
                  </w:r>
                </w:p>
              </w:tc>
              <w:tc>
                <w:tcPr>
                  <w:tcW w:w="3582" w:type="pct"/>
                  <w:shd w:val="clear" w:color="auto" w:fill="auto"/>
                  <w:vAlign w:val="center"/>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1.1</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驻场运维</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驻场技术支持和运维工程师各1名，提供协同办公系统等多个政务系统驻场调试、运维服务，保障协同办公系统运行平稳，确保在全区73个单位和14个地市农业局的电子公文业务流转正常；满足南宁市多个包括青山路办公区、七星路办公区、新民路办公区技术支持、维护、系统调整量巨大和上门业务培训及指导频繁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（2）驻场人员和运维工程师，依需对系统进行优化和调整，根据不同批次的国产电脑等设备，实地进行安装、测试和调试。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（3）在平台运维期间，提供7*24小时系统故障处理、优化运维、数据运维等保障。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1.2</w:t>
                  </w:r>
                </w:p>
              </w:tc>
              <w:tc>
                <w:tcPr>
                  <w:tcW w:w="996"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日常运维监控服务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（1）数据纠错：通过技术手段或人工处理的方式，查找出因软件系统程序原因或用户操作失误引起的错误业务数据项，并对错误数据项及时做纠正处理。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（2）日常维护：根据用户要求完成必要的数据调整，通过软件系统后台程序及操作软件系统数据库完成调整；根据用户要求的参数指标，通过软件系统数据库对软件系统产生的业务数据进行统计生成报表。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（3）系统巡检：按照软件系统巡检方案进行每日的对协同办公系统（PC端和移动端，共计15个大功能模块）软件系统进行例行巡检；按照农业厅具体要求，完成特殊时期的驻地值守、系统监控等运维服务任务。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（4）接口维护：开发用户或厂家需要的接口程序（包括功能接口、数据接口），以及相关的调整、联调、配合工作；对已开发在用的接口程序（包括功能接口、数据接口），进行功能性维护、性能优化维护等。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数据监控：对数据生产、同步、展示过程进行监控，确保数据处理流程正常运行；监控数据生产变化情况，及时分析异常，并及时向农业信息中心技术处通报；监控互联网端与政务外网端每日数据的比对结果，分析差异情况，及时进行修正；检查应用系统的数据准确性，确保数据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1.3</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培训服务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（1）提供各种类型用户培训。包括普通用户培训、管理员培训、单位领导用户培训。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针对新员工以及职位调动的人员需要提供特殊用户培训的方案来解决存在的问题。特殊用户培训，主要针对维护期内新进员工或调岗、换岗员工，维护项目组有针对性讲解系统基本原理和架构，以及基本操作，加深他们对系统认识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（3）运维项目组提供各种类型用户的系统操作手册、演示PPT，并制作动画教程，帮助用户尽快掌握系统的操作方法。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（4）为用户总结各种操作技巧，编制操作技巧大全，提高用户使用习惯。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1.4</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电话咨询、QQ、微信、远程协助支持服务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（1）提供电话咨询、QQ、微信、远程协助支持服务。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（2）对客户指定业务进行全面解答，并利用自身行业经验对客户业务调整、改造提出合理化建议。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（3）开展与客户的业务支持，配合客户完成业务调整需求方案。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1.5</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文档编写服务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（1）每周提交对内工作周报和对外工作周报（视客户要求而定）。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（2）每月提供系统检测分析报告。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（3）每月提供服务报告,内容包括每月服务内容和系统的巡检情况。并根据服务器巡检情况，提出系统运行报告最终总结同时给出系统调整建议。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（4）每月提供公文流转报表统计及分析（包括每月新增的公文数、文件归档数）。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（5）对系统进行重大更新、数据处理、升级等操作，需要向用户提供完整的解决方案和风险评估报告。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2</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系统运维保障服务</w:t>
                  </w:r>
                </w:p>
              </w:tc>
              <w:tc>
                <w:tcPr>
                  <w:tcW w:w="3582" w:type="pct"/>
                  <w:shd w:val="clear" w:color="auto" w:fill="auto"/>
                  <w:vAlign w:val="center"/>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2.1</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协同办公系统服务器端维护</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（1）协同系统服务器代码的备份，服务器软硬件及网络环境进行定期、不定期地监控与维护管理。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（2）每周对协同系统进行检测，检查系统各项服务是否正常。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（3）协同系统的补丁更新及测试，确保更新正常。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（4）台帐记录：针对每次的服务器代码修改、功能调整或更改服务器设置，都需要记录在服务器台帐中。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（5）定期检查系统的数据、文件等占用服务器资源情况，根据用户需求做出分析与报告。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（6）做好系统安全维护工作和数据备份工作，包括协同系统数据库备份，以及系统的正文附件的备份和数据归档至相关档案系统。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（7）全面掌握系统环境和功能，记录协同系统对应服务器及相关设备的配置信息，并存档保存，如有变动需及时更新。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（8）对中间件进行例行巡检，对中间件服务器进行参数调整。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（9）定期数据库检查，调整数据库参数。对数据库进行紧缩优化，清理数据库日志文件。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（10）系统数据备份,针对不同的数据制定并执行完善的备份方案，配合客户实施数据恢复演练。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2.2</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协同办公系统电脑及移动APP客户端维护</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（1）日常客户端使用故障的判断和解决。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（2）提供协同的使用技巧（不定期提供同版本的其它用户或新发现故障的解决办法和使用技巧）。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（3）重要岗位的客户端机器上出现协同使用的问题时，及时现场服务。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（4）对公文流转全过程进行维护。需要特殊处理公文流转步骤，给予优先解决。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（5）根据用户不同的客户端环境分别进行设置，保证客户端正常使用。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（6）解决日常用户在使用系统中出现的其他操作问题。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2.3</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系统功能模块维护</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对个人中心、我的公文、公文管理、公文共享交换、公文查询、厅领导活动、会议专区、归档文件、办文统计、短信管理、流程管理、系统管理、统一用户身份认证模块等功能模块维护。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2.4</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推广服务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（1）协助用户进行系统推广工作，制定推广计划，实施推广服务。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（2）根据收集的用户意见，提出有针对性的建议或解决方案。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（3）解答各部门提出的协同使用问题和网络故障等技术问题。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（4）组织讨论当前各部门的使用情况、意见和下一步的推广思路。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（5）提高用户使用系统的积极性，以达到促进系统的推广工作的目的。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3</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功能维护与优化服务</w:t>
                  </w:r>
                </w:p>
              </w:tc>
              <w:tc>
                <w:tcPr>
                  <w:tcW w:w="3582" w:type="pct"/>
                  <w:shd w:val="clear" w:color="auto" w:fill="auto"/>
                  <w:vAlign w:val="center"/>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3.1</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系统对接服务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根据用户需求，提供系统接口对接服务。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restar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3.2</w:t>
                  </w:r>
                </w:p>
              </w:tc>
              <w:tc>
                <w:tcPr>
                  <w:tcW w:w="996" w:type="pct"/>
                  <w:vMerge w:val="restar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系统调优服务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（1）根据用户需要，对界面、模块、流程等进行优化、调整。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（2）根据业务功能需要，增加公文流程模板的定制开发。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（3）进一步完善优化系统，动态调整现有流程实际使用的情况。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vMerge w:val="continue"/>
                  <w:shd w:val="clear" w:color="auto" w:fill="auto"/>
                  <w:vAlign w:val="center"/>
                </w:tcPr>
                <w:p>
                  <w:pPr>
                    <w:spacing w:line="440" w:lineRule="exact"/>
                    <w:jc w:val="center"/>
                    <w:rPr>
                      <w:rFonts w:ascii="宋体" w:hAnsi="宋体" w:cs="宋体"/>
                      <w:color w:val="auto"/>
                      <w:szCs w:val="21"/>
                      <w:highlight w:val="none"/>
                    </w:rPr>
                  </w:pPr>
                </w:p>
              </w:tc>
              <w:tc>
                <w:tcPr>
                  <w:tcW w:w="996" w:type="pct"/>
                  <w:vMerge w:val="continue"/>
                  <w:shd w:val="clear" w:color="auto" w:fill="auto"/>
                  <w:vAlign w:val="center"/>
                </w:tcPr>
                <w:p>
                  <w:pPr>
                    <w:spacing w:line="440" w:lineRule="exact"/>
                    <w:rPr>
                      <w:rFonts w:ascii="宋体" w:hAnsi="宋体" w:cs="宋体"/>
                      <w:color w:val="auto"/>
                      <w:szCs w:val="21"/>
                      <w:highlight w:val="none"/>
                    </w:rPr>
                  </w:pP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rPr>
                    <w:t>（4）定期进行安全漏洞扫描和修复。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3.3</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业务公文处理服务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完成对公文日常的流转维护，对公文实例的挂起、恢复、结束、唤醒、删除以及工作项状态的管理，根据用户需求进行调整。完成公文映射增加、删除、修改的管理。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lang w:bidi="ar"/>
                    </w:rPr>
                    <w:t>3.4</w:t>
                  </w:r>
                </w:p>
              </w:tc>
              <w:tc>
                <w:tcPr>
                  <w:tcW w:w="996"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个人事务管理服务</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根据用户需求，完成对用户个人信息维护、短信设置、消息系统设置、代理授权设置、常用批示语设置等的管理。遵循的技术标准和工作规范。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shd w:val="clear" w:color="auto" w:fill="auto"/>
                  <w:vAlign w:val="center"/>
                </w:tcPr>
                <w:p>
                  <w:pPr>
                    <w:spacing w:line="440" w:lineRule="exact"/>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4</w:t>
                  </w:r>
                </w:p>
              </w:tc>
              <w:tc>
                <w:tcPr>
                  <w:tcW w:w="996" w:type="pct"/>
                  <w:shd w:val="clear" w:color="auto" w:fill="auto"/>
                  <w:vAlign w:val="center"/>
                </w:tcPr>
                <w:p>
                  <w:pPr>
                    <w:spacing w:line="440" w:lineRule="exact"/>
                    <w:textAlignment w:val="center"/>
                    <w:rPr>
                      <w:rFonts w:ascii="宋体" w:hAnsi="宋体" w:cs="宋体"/>
                      <w:b/>
                      <w:bCs/>
                      <w:color w:val="auto"/>
                      <w:szCs w:val="21"/>
                      <w:highlight w:val="none"/>
                    </w:rPr>
                  </w:pPr>
                  <w:r>
                    <w:rPr>
                      <w:rFonts w:hint="eastAsia" w:ascii="宋体" w:hAnsi="宋体" w:cs="宋体"/>
                      <w:b/>
                      <w:bCs/>
                      <w:color w:val="auto"/>
                      <w:szCs w:val="21"/>
                      <w:highlight w:val="none"/>
                      <w:lang w:bidi="ar"/>
                    </w:rPr>
                    <w:t>服务期限</w:t>
                  </w:r>
                </w:p>
              </w:tc>
              <w:tc>
                <w:tcPr>
                  <w:tcW w:w="3582" w:type="pct"/>
                  <w:shd w:val="clear" w:color="auto" w:fill="auto"/>
                  <w:vAlign w:val="center"/>
                </w:tcPr>
                <w:p>
                  <w:pPr>
                    <w:spacing w:line="440" w:lineRule="exact"/>
                    <w:textAlignment w:val="center"/>
                    <w:rPr>
                      <w:rFonts w:ascii="宋体" w:hAnsi="宋体" w:cs="宋体"/>
                      <w:color w:val="auto"/>
                      <w:szCs w:val="21"/>
                      <w:highlight w:val="none"/>
                    </w:rPr>
                  </w:pPr>
                  <w:r>
                    <w:rPr>
                      <w:rFonts w:hint="eastAsia" w:ascii="宋体" w:hAnsi="宋体" w:cs="宋体"/>
                      <w:color w:val="auto"/>
                      <w:szCs w:val="21"/>
                      <w:highlight w:val="none"/>
                      <w:lang w:bidi="ar"/>
                    </w:rPr>
                    <w:t>提供运维服务一年。</w:t>
                  </w:r>
                </w:p>
              </w:tc>
            </w:tr>
          </w:tbl>
          <w:p>
            <w:pPr>
              <w:spacing w:line="440" w:lineRule="exact"/>
              <w:ind w:firstLine="420" w:firstLineChars="200"/>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851"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rPr>
            </w:pPr>
          </w:p>
          <w:p>
            <w:pPr>
              <w:pStyle w:val="207"/>
              <w:spacing w:line="440" w:lineRule="exact"/>
              <w:ind w:left="0" w:right="0"/>
              <w:jc w:val="center"/>
              <w:rPr>
                <w:color w:val="auto"/>
                <w:sz w:val="21"/>
                <w:szCs w:val="21"/>
                <w:highlight w:val="none"/>
              </w:rPr>
            </w:pPr>
          </w:p>
          <w:p>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▲磋商报价要</w:t>
            </w:r>
            <w:r>
              <w:rPr>
                <w:rFonts w:hint="eastAsia"/>
                <w:color w:val="auto"/>
                <w:spacing w:val="-10"/>
                <w:sz w:val="21"/>
                <w:szCs w:val="21"/>
                <w:highlight w:val="none"/>
              </w:rPr>
              <w:t>求</w:t>
            </w:r>
          </w:p>
        </w:tc>
        <w:tc>
          <w:tcPr>
            <w:tcW w:w="8496"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rPr>
                <w:color w:val="auto"/>
                <w:spacing w:val="-5"/>
                <w:sz w:val="21"/>
                <w:szCs w:val="21"/>
                <w:highlight w:val="none"/>
                <w:lang w:eastAsia="zh-CN"/>
              </w:rPr>
            </w:pPr>
            <w:r>
              <w:rPr>
                <w:rFonts w:hint="eastAsia"/>
                <w:color w:val="auto"/>
                <w:spacing w:val="-2"/>
                <w:sz w:val="21"/>
                <w:szCs w:val="21"/>
                <w:highlight w:val="none"/>
                <w:lang w:eastAsia="zh-CN"/>
              </w:rPr>
              <w:t>报价必须含以下部分，包括（但不限于</w:t>
            </w:r>
            <w:r>
              <w:rPr>
                <w:rFonts w:hint="eastAsia"/>
                <w:color w:val="auto"/>
                <w:spacing w:val="-5"/>
                <w:sz w:val="21"/>
                <w:szCs w:val="21"/>
                <w:highlight w:val="none"/>
                <w:lang w:eastAsia="zh-CN"/>
              </w:rPr>
              <w:t>）：</w:t>
            </w:r>
          </w:p>
          <w:p>
            <w:pPr>
              <w:pStyle w:val="207"/>
              <w:spacing w:line="440" w:lineRule="exact"/>
              <w:ind w:left="0" w:right="0"/>
              <w:rPr>
                <w:color w:val="auto"/>
                <w:sz w:val="21"/>
                <w:szCs w:val="21"/>
                <w:highlight w:val="none"/>
                <w:lang w:eastAsia="zh-CN"/>
              </w:rPr>
            </w:pPr>
            <w:r>
              <w:rPr>
                <w:rFonts w:hint="eastAsia"/>
                <w:color w:val="auto"/>
                <w:spacing w:val="-4"/>
                <w:sz w:val="21"/>
                <w:szCs w:val="21"/>
                <w:highlight w:val="none"/>
                <w:lang w:eastAsia="zh-CN"/>
              </w:rPr>
              <w:t>本项目磋商报价为总额报价，即一次性报出本项目服务所需的所有费用，含技术服</w:t>
            </w:r>
            <w:r>
              <w:rPr>
                <w:rFonts w:hint="eastAsia"/>
                <w:color w:val="auto"/>
                <w:spacing w:val="-7"/>
                <w:sz w:val="21"/>
                <w:szCs w:val="21"/>
                <w:highlight w:val="none"/>
                <w:lang w:eastAsia="zh-CN"/>
              </w:rPr>
              <w:t>务、派出工作人员的交通费、住宿费、伙食补助费、必要的保险费用和各项税金、其他</w:t>
            </w:r>
            <w:r>
              <w:rPr>
                <w:rFonts w:hint="eastAsia"/>
                <w:color w:val="auto"/>
                <w:spacing w:val="-6"/>
                <w:sz w:val="21"/>
                <w:szCs w:val="21"/>
                <w:highlight w:val="none"/>
                <w:lang w:eastAsia="zh-CN"/>
              </w:rPr>
              <w:t>（如运输、装卸、安装、调试、培训、技术支持、服务保障方案、更新升级等）</w:t>
            </w:r>
            <w:r>
              <w:rPr>
                <w:rFonts w:hint="eastAsia"/>
                <w:color w:val="auto"/>
                <w:spacing w:val="-8"/>
                <w:sz w:val="21"/>
                <w:szCs w:val="21"/>
                <w:highlight w:val="none"/>
                <w:lang w:eastAsia="zh-CN"/>
              </w:rPr>
              <w:t>有关的</w:t>
            </w:r>
            <w:r>
              <w:rPr>
                <w:rFonts w:hint="eastAsia"/>
                <w:color w:val="auto"/>
                <w:spacing w:val="-3"/>
                <w:sz w:val="21"/>
                <w:szCs w:val="21"/>
                <w:highlight w:val="none"/>
                <w:lang w:eastAsia="zh-CN"/>
              </w:rPr>
              <w:t>费用。本项目至验收合格，采购人不另支付任何费用。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lang w:eastAsia="zh-CN"/>
              </w:rPr>
            </w:pPr>
            <w:r>
              <w:rPr>
                <w:rFonts w:hint="eastAsia"/>
                <w:color w:val="auto"/>
                <w:spacing w:val="-4"/>
                <w:sz w:val="21"/>
                <w:szCs w:val="21"/>
                <w:highlight w:val="none"/>
                <w:lang w:eastAsia="zh-CN"/>
              </w:rPr>
              <w:t>▲合同履行期</w:t>
            </w:r>
          </w:p>
          <w:p>
            <w:pPr>
              <w:pStyle w:val="207"/>
              <w:spacing w:line="440" w:lineRule="exact"/>
              <w:ind w:left="0" w:right="0"/>
              <w:jc w:val="center"/>
              <w:rPr>
                <w:b/>
                <w:color w:val="auto"/>
                <w:sz w:val="21"/>
                <w:szCs w:val="21"/>
                <w:highlight w:val="none"/>
                <w:lang w:eastAsia="zh-CN"/>
              </w:rPr>
            </w:pPr>
            <w:r>
              <w:rPr>
                <w:rFonts w:hint="eastAsia"/>
                <w:color w:val="auto"/>
                <w:spacing w:val="-7"/>
                <w:sz w:val="21"/>
                <w:szCs w:val="21"/>
                <w:highlight w:val="none"/>
                <w:lang w:eastAsia="zh-CN"/>
              </w:rPr>
              <w:t>限、地点</w:t>
            </w:r>
          </w:p>
        </w:tc>
        <w:tc>
          <w:tcPr>
            <w:tcW w:w="8496" w:type="dxa"/>
            <w:gridSpan w:val="3"/>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color w:val="auto"/>
                <w:szCs w:val="21"/>
                <w:highlight w:val="none"/>
              </w:rPr>
              <w:t>合同履行期限：自合同签订之日起一年。</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地点：广西区内采购人指定地点。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b/>
                <w:color w:val="auto"/>
                <w:sz w:val="21"/>
                <w:szCs w:val="21"/>
                <w:highlight w:val="none"/>
              </w:rPr>
            </w:pPr>
            <w:r>
              <w:rPr>
                <w:rFonts w:hint="eastAsia"/>
                <w:color w:val="auto"/>
                <w:spacing w:val="-6"/>
                <w:sz w:val="21"/>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both"/>
              <w:rPr>
                <w:b/>
                <w:color w:val="auto"/>
                <w:sz w:val="21"/>
                <w:szCs w:val="21"/>
                <w:highlight w:val="none"/>
                <w:lang w:eastAsia="zh-CN"/>
              </w:rPr>
            </w:pPr>
            <w:r>
              <w:rPr>
                <w:rFonts w:hint="eastAsia"/>
                <w:color w:val="auto"/>
                <w:sz w:val="21"/>
                <w:szCs w:val="21"/>
                <w:highlight w:val="none"/>
                <w:lang w:eastAsia="zh-CN"/>
              </w:rPr>
              <w:t>自签订合同，供应商提供运维服务后，10</w:t>
            </w:r>
            <w:r>
              <w:rPr>
                <w:rFonts w:hint="eastAsia"/>
                <w:color w:val="auto"/>
                <w:spacing w:val="-3"/>
                <w:sz w:val="21"/>
                <w:szCs w:val="21"/>
                <w:highlight w:val="none"/>
                <w:lang w:eastAsia="zh-CN"/>
              </w:rPr>
              <w:t>个工作日内，采购人支付</w:t>
            </w:r>
            <w:r>
              <w:rPr>
                <w:rFonts w:hint="eastAsia"/>
                <w:color w:val="auto"/>
                <w:sz w:val="21"/>
                <w:szCs w:val="21"/>
                <w:highlight w:val="none"/>
                <w:lang w:eastAsia="zh-CN"/>
              </w:rPr>
              <w:t>30%的合同款给成交供应商，提供实施服务并取得运维成果后采购人支付50%的合同款给成交供应商。完成项目验收</w:t>
            </w:r>
            <w:r>
              <w:rPr>
                <w:rFonts w:hint="eastAsia"/>
                <w:color w:val="auto"/>
                <w:spacing w:val="-3"/>
                <w:sz w:val="21"/>
                <w:szCs w:val="21"/>
                <w:highlight w:val="none"/>
                <w:lang w:eastAsia="zh-CN"/>
              </w:rPr>
              <w:t>后，采购人支付合同金额</w:t>
            </w:r>
            <w:r>
              <w:rPr>
                <w:rFonts w:hint="eastAsia"/>
                <w:color w:val="auto"/>
                <w:sz w:val="21"/>
                <w:szCs w:val="21"/>
                <w:highlight w:val="none"/>
                <w:lang w:eastAsia="zh-CN"/>
              </w:rPr>
              <w:t>20%</w:t>
            </w:r>
            <w:r>
              <w:rPr>
                <w:rFonts w:hint="eastAsia"/>
                <w:color w:val="auto"/>
                <w:spacing w:val="-1"/>
                <w:sz w:val="21"/>
                <w:szCs w:val="21"/>
                <w:highlight w:val="none"/>
                <w:lang w:eastAsia="zh-CN"/>
              </w:rPr>
              <w:t>合同款给成交供应商，供应商自收到</w:t>
            </w:r>
            <w:r>
              <w:rPr>
                <w:rFonts w:hint="eastAsia"/>
                <w:color w:val="auto"/>
                <w:spacing w:val="-9"/>
                <w:sz w:val="21"/>
                <w:szCs w:val="21"/>
                <w:highlight w:val="none"/>
                <w:lang w:eastAsia="zh-CN"/>
              </w:rPr>
              <w:t>合同款之日起</w:t>
            </w:r>
            <w:r>
              <w:rPr>
                <w:rFonts w:hint="eastAsia"/>
                <w:color w:val="auto"/>
                <w:spacing w:val="-2"/>
                <w:sz w:val="21"/>
                <w:szCs w:val="21"/>
                <w:highlight w:val="none"/>
                <w:lang w:eastAsia="zh-CN"/>
              </w:rPr>
              <w:t>10</w:t>
            </w:r>
            <w:r>
              <w:rPr>
                <w:rFonts w:hint="eastAsia"/>
                <w:color w:val="auto"/>
                <w:spacing w:val="-3"/>
                <w:sz w:val="21"/>
                <w:szCs w:val="21"/>
                <w:highlight w:val="none"/>
                <w:lang w:eastAsia="zh-CN"/>
              </w:rPr>
              <w:t>个工作日内开具发票给采购人。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355"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color w:val="auto"/>
                <w:sz w:val="21"/>
                <w:szCs w:val="21"/>
                <w:highlight w:val="none"/>
                <w:lang w:eastAsia="zh-CN"/>
              </w:rPr>
            </w:pPr>
          </w:p>
          <w:p>
            <w:pPr>
              <w:pStyle w:val="207"/>
              <w:spacing w:line="440" w:lineRule="exact"/>
              <w:ind w:left="0" w:right="0"/>
              <w:jc w:val="center"/>
              <w:rPr>
                <w:b/>
                <w:color w:val="auto"/>
                <w:sz w:val="21"/>
                <w:szCs w:val="21"/>
                <w:highlight w:val="none"/>
              </w:rPr>
            </w:pPr>
            <w:r>
              <w:rPr>
                <w:rFonts w:hint="eastAsia"/>
                <w:color w:val="auto"/>
                <w:spacing w:val="-2"/>
                <w:sz w:val="21"/>
                <w:szCs w:val="21"/>
                <w:highlight w:val="none"/>
              </w:rPr>
              <w:t>▲服务保障方</w:t>
            </w:r>
            <w:r>
              <w:rPr>
                <w:rFonts w:hint="eastAsia"/>
                <w:color w:val="auto"/>
                <w:spacing w:val="-4"/>
                <w:sz w:val="21"/>
                <w:szCs w:val="21"/>
                <w:highlight w:val="none"/>
              </w:rPr>
              <w:t>案要求</w:t>
            </w:r>
          </w:p>
        </w:tc>
        <w:tc>
          <w:tcPr>
            <w:tcW w:w="8496" w:type="dxa"/>
            <w:gridSpan w:val="3"/>
            <w:tcBorders>
              <w:top w:val="single" w:color="auto" w:sz="4" w:space="0"/>
              <w:left w:val="single" w:color="auto" w:sz="4" w:space="0"/>
              <w:bottom w:val="single" w:color="auto" w:sz="4" w:space="0"/>
              <w:right w:val="single" w:color="auto" w:sz="4" w:space="0"/>
            </w:tcBorders>
          </w:tcPr>
          <w:p>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1、成交供应商在服务期限内对用户提出的合理的，不涉及架构及全局性的功能增减、美工修改等应配合实施。</w:t>
            </w:r>
          </w:p>
          <w:p>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2</w:t>
            </w:r>
            <w:r>
              <w:rPr>
                <w:rFonts w:hint="eastAsia"/>
                <w:color w:val="auto"/>
                <w:spacing w:val="-3"/>
                <w:sz w:val="21"/>
                <w:szCs w:val="21"/>
                <w:highlight w:val="none"/>
                <w:lang w:eastAsia="zh-CN"/>
              </w:rPr>
              <w:t>、送货上门、安装调试至设备到最佳状态、培训操作人员。</w:t>
            </w:r>
          </w:p>
          <w:p>
            <w:pPr>
              <w:pStyle w:val="207"/>
              <w:spacing w:line="440" w:lineRule="exact"/>
              <w:ind w:left="0" w:right="0"/>
              <w:rPr>
                <w:color w:val="auto"/>
                <w:sz w:val="21"/>
                <w:szCs w:val="21"/>
                <w:highlight w:val="none"/>
                <w:lang w:eastAsia="zh-CN"/>
              </w:rPr>
            </w:pPr>
            <w:r>
              <w:rPr>
                <w:rFonts w:hint="eastAsia"/>
                <w:color w:val="auto"/>
                <w:spacing w:val="-2"/>
                <w:sz w:val="21"/>
                <w:szCs w:val="21"/>
                <w:highlight w:val="none"/>
                <w:lang w:eastAsia="zh-CN"/>
              </w:rPr>
              <w:t>3、维护响应：成交供应商在接到用户电话后1小时内响应，1小时内到达现场修理解决，24小时内恢复正常使用，若不能修复则应有合理应对方案。</w:t>
            </w:r>
          </w:p>
          <w:p>
            <w:pPr>
              <w:pStyle w:val="207"/>
              <w:spacing w:line="440" w:lineRule="exact"/>
              <w:ind w:left="0" w:right="0"/>
              <w:rPr>
                <w:color w:val="auto"/>
                <w:kern w:val="2"/>
                <w:sz w:val="21"/>
                <w:szCs w:val="21"/>
                <w:highlight w:val="none"/>
                <w:lang w:eastAsia="zh-CN"/>
              </w:rPr>
            </w:pPr>
            <w:r>
              <w:rPr>
                <w:rFonts w:hint="eastAsia"/>
                <w:color w:val="auto"/>
                <w:spacing w:val="-2"/>
                <w:sz w:val="21"/>
                <w:szCs w:val="21"/>
                <w:highlight w:val="none"/>
                <w:lang w:eastAsia="zh-CN"/>
              </w:rPr>
              <w:t>4</w:t>
            </w:r>
            <w:r>
              <w:rPr>
                <w:rFonts w:hint="eastAsia"/>
                <w:color w:val="auto"/>
                <w:spacing w:val="-3"/>
                <w:sz w:val="21"/>
                <w:szCs w:val="21"/>
                <w:highlight w:val="none"/>
                <w:lang w:eastAsia="zh-CN"/>
              </w:rPr>
              <w:t>、成交供应商除承担运输、安装、调试、验收与培训等义务外，还将为采购人提供技术支持，包括维护期外的技术服务及技术指导等。</w:t>
            </w:r>
          </w:p>
        </w:tc>
      </w:tr>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原标项四</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362"/>
        <w:gridCol w:w="83"/>
        <w:gridCol w:w="911"/>
        <w:gridCol w:w="757"/>
        <w:gridCol w:w="6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362"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94" w:type="dxa"/>
            <w:gridSpan w:val="2"/>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757"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362"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广西农情信息管理系统运维服务</w:t>
            </w:r>
          </w:p>
        </w:tc>
        <w:tc>
          <w:tcPr>
            <w:tcW w:w="994" w:type="dxa"/>
            <w:gridSpan w:val="2"/>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757"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pPr>
              <w:spacing w:line="440" w:lineRule="exact"/>
              <w:ind w:firstLine="420" w:firstLineChars="200"/>
              <w:jc w:val="left"/>
              <w:rPr>
                <w:rFonts w:ascii="宋体" w:hAnsi="宋体" w:cs="宋体"/>
                <w:color w:val="auto"/>
                <w:szCs w:val="21"/>
                <w:highlight w:val="none"/>
              </w:rPr>
            </w:pPr>
            <w:bookmarkStart w:id="32" w:name="OLE_LINK6"/>
            <w:bookmarkStart w:id="33" w:name="OLE_LINK43"/>
            <w:r>
              <w:rPr>
                <w:rFonts w:hint="eastAsia" w:ascii="宋体" w:hAnsi="宋体" w:cs="宋体"/>
                <w:color w:val="auto"/>
                <w:szCs w:val="21"/>
                <w:highlight w:val="none"/>
              </w:rPr>
              <w:t>依据广西农情信息管理系统（以下简称系统）技术保障要求，对系统实施运行维护</w:t>
            </w:r>
            <w:bookmarkEnd w:id="32"/>
            <w:r>
              <w:rPr>
                <w:rFonts w:hint="eastAsia" w:ascii="宋体" w:hAnsi="宋体" w:cs="宋体"/>
                <w:color w:val="auto"/>
                <w:szCs w:val="21"/>
                <w:highlight w:val="none"/>
              </w:rPr>
              <w:t>，并提供农情进度报表的配置服务。</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一、广西农情信息管理系统运行维护服务</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1.每月对系统服务器代码实施备份，并定期对服务器软硬件及网络环境开展监控及维护。</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每周对系统开展例行巡检，重点检查以下内容运行状态是否正常：①服务器设备：硬件设备、操作系统、中间件等；②软件设备：系统环境、数据库环境、系统配套服务等；③安全防护系统等。针对发现的异常和隐患，及时实施系统安全漏洞加固和补丁修补。</w:t>
            </w:r>
          </w:p>
          <w:p>
            <w:pPr>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3.每月核查系统数据、文件等服务器资源占用情况，并根据核查结果编制资源分析报告。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4.每月开展系统安全维护及数据备份工作。数据备份包括系统数据库备份与正文附件备份。</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5.负责系统的补丁更新及测试工作，确保更新顺利进行，保障系统稳定运行。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6.掌握系统环境和功能，记录服务器及相关设备的配置信息，存档并及时更新变动。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7.服务器台账记录：所有服务器代码修改、功能调整及配置变更等操作，需记录在台账中。</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8.负责系统微信小程序客户端的维护，确保其平稳运行。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9.及时解决客户端使用过程中遇到的系统故障。</w:t>
            </w:r>
          </w:p>
          <w:p>
            <w:pPr>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10.按照采购方需求，对系统原有功能进行小范围调整及维护，并配合采购方，就新增功能的使用向客户端提供培训及讲解。</w:t>
            </w:r>
          </w:p>
          <w:p>
            <w:pPr>
              <w:spacing w:line="44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11.对接相关系统接口开发。</w:t>
            </w:r>
          </w:p>
          <w:p>
            <w:pPr>
              <w:spacing w:line="440" w:lineRule="exact"/>
              <w:ind w:firstLine="420" w:firstLineChars="200"/>
              <w:rPr>
                <w:rFonts w:hint="default" w:ascii="宋体" w:hAnsi="宋体" w:cs="宋体"/>
                <w:color w:val="auto"/>
                <w:szCs w:val="21"/>
                <w:highlight w:val="none"/>
                <w:lang w:val="en-US" w:eastAsia="zh-CN"/>
              </w:rPr>
            </w:pPr>
            <w:bookmarkStart w:id="34" w:name="OLE_LINK7"/>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协助</w:t>
            </w:r>
            <w:r>
              <w:rPr>
                <w:rFonts w:hint="eastAsia" w:ascii="宋体" w:hAnsi="宋体" w:cs="宋体"/>
                <w:color w:val="auto"/>
                <w:szCs w:val="21"/>
                <w:highlight w:val="none"/>
                <w:lang w:eastAsia="zh-CN"/>
              </w:rPr>
              <w:t>采购方</w:t>
            </w:r>
            <w:r>
              <w:rPr>
                <w:rFonts w:hint="eastAsia" w:ascii="宋体" w:hAnsi="宋体" w:cs="宋体"/>
                <w:color w:val="auto"/>
                <w:szCs w:val="21"/>
                <w:highlight w:val="none"/>
              </w:rPr>
              <w:t>到各个部门调研需求并提供相应的需求报告，为信息化项目提供咨询服务。</w:t>
            </w:r>
          </w:p>
          <w:bookmarkEnd w:id="34"/>
          <w:p>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二、广西农情信息管理系统农情进度报表配置服务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按照采购方要求，通过系统下发全区种植业生产进度报表。常规情况下，每周下发一次报表，覆盖全区14个市、113个县（市、区）。在春种、夏收夏种、秋收秋种等关键农时季节，报表下发频率增加，一周两次或一天一次。此外，每年2月下发全年农作物种植意向表，6月和11月分别下发全区早稻、晚稻产量三要素调度表，9月下发全区农作物种植面积、产量预测表。同时，根据采购方要求下发其他相关表格。</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农情进度报表配置要求：1.配表前：供应商需形成配表明细记录（以系统中县区填报页面显示的报表为模板），标注每期报表中每个指标的环比、同比取数及逻辑校验等内容，提交采购方审核后，再进行配表。2.配表完成：供应商配表完成后，针对配表内容进行再次审核，确保配置无误。3.测试任务：供应商发放测试任务后，需从县级—市级—区级三级进行测试，确保县级填报时各项逻辑校验无误，市级、区级的汇总数据准确无误。4.正式报表任务：完成三级测试后，供应商正式下发报表任务。</w:t>
            </w:r>
          </w:p>
          <w:p>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三、广西农情信息管理系统保障服务</w:t>
            </w:r>
          </w:p>
          <w:p>
            <w:pPr>
              <w:spacing w:line="440" w:lineRule="exact"/>
              <w:ind w:firstLine="420" w:firstLineChars="200"/>
              <w:jc w:val="left"/>
              <w:rPr>
                <w:rFonts w:ascii="宋体" w:hAnsi="宋体" w:cs="宋体"/>
                <w:color w:val="auto"/>
                <w:szCs w:val="21"/>
                <w:highlight w:val="none"/>
              </w:rPr>
            </w:pPr>
            <w:bookmarkStart w:id="35" w:name="OLE_LINK18"/>
            <w:r>
              <w:rPr>
                <w:rFonts w:hint="eastAsia" w:ascii="宋体" w:hAnsi="宋体" w:cs="宋体"/>
                <w:color w:val="auto"/>
                <w:szCs w:val="21"/>
                <w:highlight w:val="none"/>
              </w:rPr>
              <w:t>1.人员管理要求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1.1服务人员要求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安排至少1名熟悉应用业务的运维技术工程师，负责系统运行维护和农情进度报表配置工作。</w:t>
            </w:r>
          </w:p>
          <w:p>
            <w:pPr>
              <w:spacing w:line="440" w:lineRule="exact"/>
              <w:ind w:firstLine="420" w:firstLineChars="200"/>
              <w:rPr>
                <w:rFonts w:ascii="宋体" w:hAnsi="宋体" w:cs="宋体"/>
                <w:color w:val="auto"/>
                <w:szCs w:val="21"/>
                <w:highlight w:val="none"/>
              </w:rPr>
            </w:pPr>
            <w:bookmarkStart w:id="36" w:name="OLE_LINK22"/>
            <w:r>
              <w:rPr>
                <w:rFonts w:hint="eastAsia" w:ascii="宋体" w:hAnsi="宋体" w:cs="宋体"/>
                <w:color w:val="auto"/>
                <w:szCs w:val="21"/>
                <w:highlight w:val="none"/>
              </w:rPr>
              <w:t>1.1人员资质要求</w:t>
            </w:r>
          </w:p>
          <w:p>
            <w:pPr>
              <w:spacing w:line="440" w:lineRule="exact"/>
              <w:jc w:val="left"/>
              <w:rPr>
                <w:rFonts w:ascii="宋体" w:hAnsi="宋体" w:cs="宋体"/>
                <w:color w:val="auto"/>
                <w:szCs w:val="21"/>
                <w:highlight w:val="none"/>
              </w:rPr>
            </w:pPr>
            <w:bookmarkStart w:id="37" w:name="OLE_LINK21"/>
            <w:bookmarkStart w:id="38" w:name="OLE_LINK10"/>
            <w:r>
              <w:rPr>
                <w:rFonts w:hint="eastAsia" w:ascii="宋体" w:hAnsi="宋体" w:cs="宋体"/>
                <w:color w:val="auto"/>
                <w:szCs w:val="21"/>
                <w:highlight w:val="none"/>
              </w:rPr>
              <w:t>运维技术工程师应具备计算机相关专业，有1年以上系统运维经验。运维人员需开展岗前培训并测试合格后方可进驻项目服务，</w:t>
            </w:r>
            <w:r>
              <w:rPr>
                <w:rFonts w:hint="eastAsia" w:ascii="宋体" w:hAnsi="宋体" w:cs="宋体"/>
                <w:color w:val="auto"/>
                <w:szCs w:val="21"/>
                <w:highlight w:val="none"/>
                <w:lang w:eastAsia="zh-CN"/>
              </w:rPr>
              <w:t>需</w:t>
            </w:r>
            <w:r>
              <w:rPr>
                <w:rFonts w:hint="eastAsia" w:ascii="宋体" w:hAnsi="宋体" w:cs="宋体"/>
                <w:color w:val="auto"/>
                <w:szCs w:val="21"/>
                <w:highlight w:val="none"/>
              </w:rPr>
              <w:t>拥有良好的沟通协调能力，能够及时接收并处理采购方反馈的问题，对于无法立即解决的问题，需在第一时间向对应技术人员或项目经理进行反馈。</w:t>
            </w:r>
          </w:p>
          <w:bookmarkEnd w:id="35"/>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1.2人员流动性要求</w:t>
            </w:r>
          </w:p>
          <w:p>
            <w:pPr>
              <w:spacing w:line="440" w:lineRule="exact"/>
              <w:jc w:val="left"/>
              <w:rPr>
                <w:rFonts w:ascii="宋体" w:hAnsi="宋体" w:cs="宋体"/>
                <w:color w:val="auto"/>
                <w:szCs w:val="21"/>
                <w:highlight w:val="none"/>
              </w:rPr>
            </w:pPr>
            <w:bookmarkStart w:id="39" w:name="OLE_LINK16"/>
            <w:r>
              <w:rPr>
                <w:rFonts w:hint="eastAsia" w:ascii="宋体" w:hAnsi="宋体" w:cs="宋体"/>
                <w:color w:val="auto"/>
                <w:szCs w:val="21"/>
                <w:highlight w:val="none"/>
              </w:rPr>
              <w:t>未经采购方同意，在合同期内不得更换运维技术工程师。</w:t>
            </w:r>
          </w:p>
          <w:bookmarkEnd w:id="39"/>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1.3工作职责要求</w:t>
            </w:r>
          </w:p>
          <w:p>
            <w:pPr>
              <w:spacing w:line="440" w:lineRule="exact"/>
              <w:ind w:firstLine="420"/>
              <w:jc w:val="left"/>
              <w:rPr>
                <w:rFonts w:ascii="宋体" w:hAnsi="宋体" w:cs="宋体"/>
                <w:color w:val="auto"/>
                <w:szCs w:val="21"/>
                <w:highlight w:val="none"/>
              </w:rPr>
            </w:pPr>
            <w:bookmarkStart w:id="40" w:name="OLE_LINK17"/>
            <w:r>
              <w:rPr>
                <w:rFonts w:hint="eastAsia" w:ascii="宋体" w:hAnsi="宋体" w:cs="宋体"/>
                <w:color w:val="auto"/>
                <w:szCs w:val="21"/>
                <w:highlight w:val="none"/>
              </w:rPr>
              <w:t>①提供7×24小时电话技术支持（包含电话、邮件、远程桌面支持等），</w:t>
            </w:r>
            <w:bookmarkStart w:id="41" w:name="OLE_LINK24"/>
            <w:r>
              <w:rPr>
                <w:rFonts w:hint="eastAsia" w:ascii="宋体" w:hAnsi="宋体" w:cs="宋体"/>
                <w:color w:val="auto"/>
                <w:szCs w:val="21"/>
                <w:highlight w:val="none"/>
              </w:rPr>
              <w:t>接到系统故障或配表任务通知后，工作日10分钟响应，必要时1小时内到现场，非工作日30分钟响应，必要时2小时内到达现场。如系统临时有突发任务时，供应商需及时调配足够人手，确保按时按质按量完成项目需求。</w:t>
            </w:r>
          </w:p>
          <w:bookmarkEnd w:id="36"/>
          <w:bookmarkEnd w:id="37"/>
          <w:bookmarkEnd w:id="38"/>
          <w:bookmarkEnd w:id="41"/>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②严格执行采购方各项管理制度，包括但不限于文档管理、办公场所规范、考勤制度、评估机制、着装标准及语言规范；</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③对重大故障需立即向采购方报备，并按规范要求及时提交书面故障分析报告；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④定期向采购方提交技术文档，包括问题总结报告、系统优化方案及日常维护记录；</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⑤每月编制并提交采购方反馈问题汇总及处理情况统计表；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⑥保持与采购方的常态化沟通，及时跟进落实采购方提出的改进建议与工作要求。</w:t>
            </w:r>
          </w:p>
          <w:bookmarkEnd w:id="40"/>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2.故障管理服务级别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最高：由于应用系统故障造成应用系统停止运行，对采购方的业务运行造成严重影响。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高：应用系统性能严重受损，或出现的应用系统故障影响应用系统正常运行。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中：应用系统性能受损，或偶尔出现的应用系统故障，但应用系统仍可运行。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低：需要对应用系统涉及产品的安装、配置、调整、升级方面的信息及支特服务。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故障响应时间：</w:t>
            </w:r>
          </w:p>
          <w:tbl>
            <w:tblPr>
              <w:tblStyle w:val="42"/>
              <w:tblW w:w="6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213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30分钟</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业务恢复时间：</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157"/>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事件分析时间：</w:t>
            </w:r>
          </w:p>
          <w:tbl>
            <w:tblPr>
              <w:tblStyle w:val="42"/>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66"/>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优先级代码</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四、广西农情信息管理系统安全整改服务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按照自治区政府安全整改要求，及时响应并完成安全整改工作。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1.漏洞修复时效要求：高风险等级漏洞：收到报告后3个工作日内完成修复；中低风险等级漏洞：收到报告后两周内完成修复。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2.完成修复后须向采购方提交完整的安全整改报告，如遇到系统较大版本升级改动等特殊情况需要延期解决，需在安全整改报告中说明，并给出具体完成修复时间。</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五、文档编写服务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进行系统重大更新、数据处理或版本升级等操作前，必须向采购方提交包含完整解决方案和风险评估报告的技术文档，经采购方审核确认后方可实施；执行过程中应根据操作复杂程度安排采购方参与关键环节协作，若遇方案调整需重新提交修订文档并获得书面确认。</w:t>
            </w:r>
          </w:p>
          <w:p>
            <w:pPr>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六、系统调优服务。</w:t>
            </w:r>
            <w:r>
              <w:rPr>
                <w:rFonts w:hint="eastAsia" w:ascii="宋体" w:hAnsi="宋体" w:cs="宋体"/>
                <w:color w:val="auto"/>
                <w:szCs w:val="21"/>
                <w:highlight w:val="none"/>
              </w:rPr>
              <w:t>按照采购方要求，对系统部分指标、模块进行调优。</w:t>
            </w:r>
            <w:bookmarkEnd w:id="3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1.合同履行期限： </w:t>
            </w:r>
            <w:bookmarkStart w:id="42" w:name="OLE_LINK50"/>
            <w:r>
              <w:rPr>
                <w:rFonts w:hint="eastAsia" w:ascii="宋体" w:hAnsi="宋体" w:cs="宋体"/>
                <w:color w:val="auto"/>
                <w:szCs w:val="21"/>
                <w:highlight w:val="none"/>
              </w:rPr>
              <w:t>2025年7月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日；</w:t>
            </w:r>
            <w:bookmarkEnd w:id="42"/>
          </w:p>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color w:val="auto"/>
                <w:szCs w:val="21"/>
                <w:highlight w:val="none"/>
              </w:rPr>
            </w:pPr>
            <w:bookmarkStart w:id="43" w:name="OLE_LINK51"/>
            <w:r>
              <w:rPr>
                <w:rFonts w:hint="eastAsia" w:ascii="宋体" w:hAnsi="宋体" w:cs="宋体"/>
                <w:bCs/>
                <w:color w:val="auto"/>
                <w:szCs w:val="21"/>
                <w:highlight w:val="none"/>
              </w:rPr>
              <w:t>采购人应于合同签订后20个工作日内，向成交供应商支付合同款的30%作为定金</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43"/>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bookmarkStart w:id="44" w:name="OLE_LINK52" w:colFirst="1" w:colLast="1"/>
            <w:r>
              <w:rPr>
                <w:rFonts w:hint="eastAsia" w:ascii="宋体" w:hAnsi="宋体" w:cs="宋体"/>
                <w:color w:val="auto"/>
                <w:szCs w:val="21"/>
                <w:highlight w:val="none"/>
              </w:rPr>
              <w:t>▲售后服务</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auto"/>
                <w:szCs w:val="21"/>
                <w:highlight w:val="none"/>
              </w:rPr>
            </w:pPr>
            <w:bookmarkStart w:id="45" w:name="OLE_LINK54"/>
            <w:r>
              <w:rPr>
                <w:rFonts w:hint="eastAsia" w:ascii="宋体" w:hAnsi="宋体" w:cs="宋体"/>
                <w:color w:val="auto"/>
                <w:szCs w:val="21"/>
                <w:highlight w:val="none"/>
              </w:rPr>
              <w:t>1.售后服务：</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（2）服务期内提供7×24小时电话技术支持（包含电话、邮件、远程桌面支持等）</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（3）接到系统故障或配表任务通知后，工作日10分钟响应，必要时1小时内到现场，非工作日30分钟响应，必要时2小时内到达现场。</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45"/>
          </w:p>
        </w:tc>
      </w:tr>
      <w:bookmarkEnd w:id="44"/>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3"/>
            <w:tcBorders>
              <w:top w:val="single" w:color="auto" w:sz="4" w:space="0"/>
              <w:left w:val="single" w:color="auto" w:sz="4" w:space="0"/>
              <w:bottom w:val="single" w:color="auto" w:sz="4" w:space="0"/>
              <w:right w:val="single" w:color="auto" w:sz="4" w:space="0"/>
            </w:tcBorders>
            <w:vAlign w:val="center"/>
          </w:tcPr>
          <w:p>
            <w:pPr>
              <w:pStyle w:val="213"/>
              <w:spacing w:before="0" w:after="0" w:line="440" w:lineRule="exact"/>
              <w:rPr>
                <w:rFonts w:ascii="宋体" w:hAnsi="宋体" w:cs="宋体"/>
                <w:bCs w:val="0"/>
                <w:color w:val="auto"/>
                <w:spacing w:val="0"/>
                <w:kern w:val="2"/>
                <w:sz w:val="21"/>
                <w:szCs w:val="21"/>
                <w:highlight w:val="none"/>
              </w:rPr>
            </w:pPr>
            <w:bookmarkStart w:id="46" w:name="OLE_LINK53"/>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pPr>
              <w:pStyle w:val="213"/>
              <w:spacing w:before="0" w:after="0"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bookmarkEnd w:id="46"/>
          </w:p>
        </w:tc>
      </w:tr>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5"/>
        <w:spacing w:before="0" w:after="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原标项五</w:t>
      </w:r>
    </w:p>
    <w:tbl>
      <w:tblPr>
        <w:tblStyle w:val="41"/>
        <w:tblW w:w="105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445"/>
        <w:gridCol w:w="68"/>
        <w:gridCol w:w="934"/>
        <w:gridCol w:w="666"/>
        <w:gridCol w:w="6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655"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13" w:type="dxa"/>
            <w:gridSpan w:val="2"/>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标的名称</w:t>
            </w:r>
          </w:p>
        </w:tc>
        <w:tc>
          <w:tcPr>
            <w:tcW w:w="934"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数量及单位</w:t>
            </w:r>
          </w:p>
        </w:tc>
        <w:tc>
          <w:tcPr>
            <w:tcW w:w="666"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所属</w:t>
            </w:r>
          </w:p>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行业</w:t>
            </w:r>
          </w:p>
        </w:tc>
        <w:tc>
          <w:tcPr>
            <w:tcW w:w="6828" w:type="dxa"/>
            <w:vAlign w:val="center"/>
          </w:tcPr>
          <w:p>
            <w:pPr>
              <w:tabs>
                <w:tab w:val="left" w:pos="180"/>
                <w:tab w:val="left" w:pos="1620"/>
              </w:tabs>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655"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513" w:type="dxa"/>
            <w:gridSpan w:val="2"/>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广西农业自然灾害预警监控系统运维服务</w:t>
            </w:r>
          </w:p>
        </w:tc>
        <w:tc>
          <w:tcPr>
            <w:tcW w:w="934"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666" w:type="dxa"/>
            <w:vAlign w:val="center"/>
          </w:tcPr>
          <w:p>
            <w:pPr>
              <w:tabs>
                <w:tab w:val="left" w:pos="180"/>
                <w:tab w:val="left" w:pos="1620"/>
              </w:tabs>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软件和信息技术服务业</w:t>
            </w:r>
          </w:p>
        </w:tc>
        <w:tc>
          <w:tcPr>
            <w:tcW w:w="6828" w:type="dxa"/>
            <w:vAlign w:val="center"/>
          </w:tcPr>
          <w:p>
            <w:pPr>
              <w:spacing w:line="440" w:lineRule="exact"/>
              <w:ind w:firstLine="420" w:firstLineChars="200"/>
              <w:jc w:val="left"/>
              <w:rPr>
                <w:rFonts w:ascii="宋体" w:hAnsi="宋体" w:cs="宋体"/>
                <w:color w:val="auto"/>
                <w:szCs w:val="21"/>
                <w:highlight w:val="none"/>
              </w:rPr>
            </w:pPr>
            <w:bookmarkStart w:id="47" w:name="OLE_LINK44"/>
            <w:r>
              <w:rPr>
                <w:rFonts w:hint="eastAsia" w:ascii="宋体" w:hAnsi="宋体" w:cs="宋体"/>
                <w:color w:val="auto"/>
                <w:szCs w:val="21"/>
                <w:highlight w:val="none"/>
              </w:rPr>
              <w:t>依据广西农业自然灾害预警监控系统（以下简称系统）技术保障要求，对系统实施运行维护。</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一、</w:t>
            </w:r>
            <w:bookmarkStart w:id="48" w:name="OLE_LINK49"/>
            <w:r>
              <w:rPr>
                <w:rFonts w:hint="eastAsia" w:ascii="宋体" w:hAnsi="宋体" w:cs="宋体"/>
                <w:b/>
                <w:bCs/>
                <w:color w:val="auto"/>
                <w:szCs w:val="21"/>
                <w:highlight w:val="none"/>
              </w:rPr>
              <w:t>广西农业自然灾害预警监控系统</w:t>
            </w:r>
            <w:bookmarkEnd w:id="48"/>
            <w:r>
              <w:rPr>
                <w:rFonts w:hint="eastAsia" w:ascii="宋体" w:hAnsi="宋体" w:cs="宋体"/>
                <w:b/>
                <w:bCs/>
                <w:color w:val="auto"/>
                <w:szCs w:val="21"/>
                <w:highlight w:val="none"/>
              </w:rPr>
              <w:t>运行维护服务</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1.每月对系统服务器代码实施备份，并定期对服务器软硬件及网络环境开展监控及维护。</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2.每周对系统开展例行巡检，重点检查以下内容运行状态是否正常：①服务器设备：硬件设备、操作系统、中间件等；②软件设备：系统环境、数据库环境、系统配套服务等；③安全防护系统等。针对发现的异常和隐患，及时实施系统安全漏洞加固和补丁修补。</w:t>
            </w:r>
          </w:p>
          <w:p>
            <w:pPr>
              <w:spacing w:line="44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3.每月核查系统数据、文件等服务器资源占用情况，并根据核查结果编制资源分析报告。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4.每月开展系统安全维护及数据备份工作。数据备份包括系统数据库备份与正文附件备份。</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5.负责系统的补丁更新及测试工作，确保更新顺利进行，保障系统稳定运行。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6.掌握系统环境和功能，记录服务器及相关设备的配置信息，存档并及时更新变动。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7.服务器台账记录：所有服务器代码修改、功能调整及配置变更等操作，需记录在台账中。</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8.负责系统微信小程序客户端的维护，确保其平稳运行。</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9.及时解决客户端使用过程中遇到的系统故障。</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10.按照采购方需求，对系统原有功能进行小范围调整及维护，并配合采购方，就新增功能的使用向客户端提供培训及讲解。</w:t>
            </w:r>
          </w:p>
          <w:p>
            <w:pPr>
              <w:spacing w:line="440" w:lineRule="exact"/>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协助</w:t>
            </w:r>
            <w:r>
              <w:rPr>
                <w:rFonts w:hint="eastAsia" w:ascii="宋体" w:hAnsi="宋体" w:cs="宋体"/>
                <w:color w:val="auto"/>
                <w:szCs w:val="21"/>
                <w:highlight w:val="none"/>
                <w:lang w:eastAsia="zh-CN"/>
              </w:rPr>
              <w:t>采购方</w:t>
            </w:r>
            <w:r>
              <w:rPr>
                <w:rFonts w:hint="eastAsia" w:ascii="宋体" w:hAnsi="宋体" w:cs="宋体"/>
                <w:color w:val="auto"/>
                <w:szCs w:val="21"/>
                <w:highlight w:val="none"/>
              </w:rPr>
              <w:t>到各个部门调研需求并提供相应的需求报告，为信息化项目提供咨询服务。</w:t>
            </w:r>
          </w:p>
          <w:p>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二、广西农业自然灾害预警监控系统保障服务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1.人员管理要求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1.1服务人员要求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安排至少1名熟悉应用业务的运维技术工程师，负责系统运行维护和农情进度报表配置工作。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1.1人员资质要求</w:t>
            </w:r>
          </w:p>
          <w:p>
            <w:pPr>
              <w:spacing w:line="440" w:lineRule="exact"/>
              <w:jc w:val="left"/>
              <w:rPr>
                <w:rFonts w:ascii="宋体" w:hAnsi="宋体" w:cs="宋体"/>
                <w:color w:val="auto"/>
                <w:szCs w:val="21"/>
                <w:highlight w:val="none"/>
              </w:rPr>
            </w:pPr>
            <w:bookmarkStart w:id="49" w:name="OLE_LINK11"/>
            <w:r>
              <w:rPr>
                <w:rFonts w:hint="eastAsia" w:ascii="宋体" w:hAnsi="宋体" w:cs="宋体"/>
                <w:color w:val="auto"/>
                <w:szCs w:val="21"/>
                <w:highlight w:val="none"/>
              </w:rPr>
              <w:t>运维技术工程师应具备计算机相关专业，有1年以上系统运维经验。运维人员需开展岗前培训并测试合格后方可进驻项目服务，</w:t>
            </w:r>
            <w:r>
              <w:rPr>
                <w:rFonts w:hint="eastAsia" w:ascii="宋体" w:hAnsi="宋体" w:cs="宋体"/>
                <w:color w:val="auto"/>
                <w:szCs w:val="21"/>
                <w:highlight w:val="none"/>
                <w:lang w:eastAsia="zh-CN"/>
              </w:rPr>
              <w:t>需</w:t>
            </w:r>
            <w:r>
              <w:rPr>
                <w:rFonts w:hint="eastAsia" w:ascii="宋体" w:hAnsi="宋体" w:cs="宋体"/>
                <w:color w:val="auto"/>
                <w:szCs w:val="21"/>
                <w:highlight w:val="none"/>
              </w:rPr>
              <w:t>拥有良好的沟通协调能力，能够及时接收并处理采购方反馈的问题，对于无法立即解决的问题，需在第一时间向对应技术人员或项目经理进行反馈。</w:t>
            </w:r>
          </w:p>
          <w:bookmarkEnd w:id="49"/>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1.2人员流动性要求</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未经采购方同意，在合同期内不得更换运维技术工程师。</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1.3工作职责要求</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①提供7×24小时电话技术支持（包含电话、邮件、远程桌面支持等），接到系统故障或配表任务通知后，工作日10分钟响应，必要时1小时内到现场，非工作日30分钟响应，必要时2小时内到达现场。如系统临时有突发任务时，供应商需及时调配足够人手，确保按时按质按量完成项目需求。</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②严格执行采购方各项管理制度，包括但不限于文档管理、办公场所规范、考勤制度、评估机制、着装标准及语言规范；</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③对重大故障需立即向采购方报备，并按规范要求及时提交书面故障分析报告；</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④定期向采购方提交技术文档，包括问题总结报告、系统优化方案及日常维护记录；</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⑤每月编制并提交采购方反馈问题汇总及处理情况统计表；</w:t>
            </w:r>
          </w:p>
          <w:p>
            <w:pPr>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⑥保持与采购方的常态化沟通，及时跟进落实采购方提出的改进建议与工作要求。</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2.故障管理服务级别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最高：由于应用系统故障造成应用系统停止运行，对采购方的业务运行造成严重影响。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高：应用系统性能严重受损，或出现的应用系统故障影响应用系统正常运行。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中：应用系统性能受损，或偶尔出现的应用系统故障，但应用系统仍可运行。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低：需要对应用系统涉及产品的安装、配置、调整、升级方面的信息及支特服务。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故障响应时间：</w:t>
            </w:r>
          </w:p>
          <w:tbl>
            <w:tblPr>
              <w:tblStyle w:val="42"/>
              <w:tblW w:w="6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2134"/>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34" w:type="dxa"/>
                  <w:shd w:val="clear" w:color="auto" w:fill="auto"/>
                  <w:vAlign w:val="center"/>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故障响应时间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34" w:type="dxa"/>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30分钟</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业务恢复时间：</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157"/>
              <w:gridCol w:w="2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故障等级</w:t>
                  </w:r>
                </w:p>
              </w:tc>
              <w:tc>
                <w:tcPr>
                  <w:tcW w:w="215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5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5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事件分析时间：</w:t>
            </w:r>
          </w:p>
          <w:tbl>
            <w:tblPr>
              <w:tblStyle w:val="42"/>
              <w:tblW w:w="6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166"/>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2167"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编号</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优先级代码</w:t>
                  </w:r>
                </w:p>
              </w:tc>
              <w:tc>
                <w:tcPr>
                  <w:tcW w:w="2166" w:type="dxa"/>
                  <w:shd w:val="clear" w:color="auto" w:fill="auto"/>
                </w:tcPr>
                <w:p>
                  <w:pPr>
                    <w:spacing w:line="440" w:lineRule="exact"/>
                    <w:jc w:val="center"/>
                    <w:rPr>
                      <w:rFonts w:ascii="宋体" w:hAnsi="宋体" w:cs="宋体"/>
                      <w:b/>
                      <w:color w:val="auto"/>
                      <w:szCs w:val="21"/>
                      <w:highlight w:val="none"/>
                    </w:rPr>
                  </w:pPr>
                  <w:r>
                    <w:rPr>
                      <w:rFonts w:hint="eastAsia" w:ascii="宋体" w:hAnsi="宋体" w:cs="宋体"/>
                      <w:b/>
                      <w:color w:val="auto"/>
                      <w:szCs w:val="21"/>
                      <w:highlight w:val="none"/>
                    </w:rPr>
                    <w:t>最后解决时限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最高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高</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中</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5个小时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67"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低</w:t>
                  </w:r>
                </w:p>
              </w:tc>
              <w:tc>
                <w:tcPr>
                  <w:tcW w:w="2166"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6个小时</w:t>
                  </w:r>
                </w:p>
              </w:tc>
            </w:tr>
          </w:tbl>
          <w:p>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三、广西农业自然灾害预警监控系统安全整改服务</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按照自治区政府安全整改要求，及时响应并完成安全整改工作。</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1.漏洞修复时效要求：高风险等级漏洞：收到报告后3个工作日内完成修复；中低风险等级漏洞：收到报告后两周内完成修复。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2.完成修复后须向采购方提交完整的安全整改报告，如遇到系统较大版本升级改动等特殊情况需要延期解决，需在安全整改报告中说明，并给出具体完成修复时间。</w:t>
            </w:r>
          </w:p>
          <w:p>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四、文档编写服务</w:t>
            </w:r>
          </w:p>
          <w:p>
            <w:pPr>
              <w:spacing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进行系统重大更新、数据处理或版本升级等操作前，必须向采购方提交包含完整解决方案和风险评估报告的技术文档，经采购方审核确认后方可实施；执行过程中应根据操作复杂程度安排采购方参与关键环节协作，若遇方案调整需重新提交修订文档并获得书面确认。</w:t>
            </w:r>
          </w:p>
          <w:p>
            <w:pPr>
              <w:spacing w:line="44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五、系统调优服务。</w:t>
            </w:r>
            <w:r>
              <w:rPr>
                <w:rFonts w:hint="eastAsia" w:ascii="宋体" w:hAnsi="宋体" w:cs="宋体"/>
                <w:color w:val="auto"/>
                <w:szCs w:val="21"/>
                <w:highlight w:val="none"/>
              </w:rPr>
              <w:t>按照采购方要求，对系统部分指标、模块进行调优。</w:t>
            </w:r>
            <w:bookmarkEnd w:id="4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596" w:type="dxa"/>
            <w:gridSpan w:val="6"/>
            <w:tcBorders>
              <w:top w:val="single" w:color="auto" w:sz="4" w:space="0"/>
              <w:left w:val="single" w:color="auto" w:sz="4" w:space="0"/>
              <w:bottom w:val="single" w:color="auto" w:sz="4" w:space="0"/>
              <w:right w:val="single" w:color="auto" w:sz="4" w:space="0"/>
            </w:tcBorders>
          </w:tcPr>
          <w:p>
            <w:pPr>
              <w:spacing w:line="440" w:lineRule="exact"/>
              <w:rPr>
                <w:rFonts w:ascii="宋体" w:hAnsi="宋体" w:cs="宋体"/>
                <w:color w:val="auto"/>
                <w:szCs w:val="21"/>
                <w:highlight w:val="none"/>
              </w:rPr>
            </w:pPr>
            <w:r>
              <w:rPr>
                <w:rFonts w:hint="eastAsia" w:ascii="宋体" w:hAnsi="宋体" w:cs="宋体"/>
                <w:b/>
                <w:color w:val="auto"/>
                <w:szCs w:val="21"/>
                <w:highlight w:val="none"/>
              </w:rPr>
              <w:t>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bCs/>
                <w:color w:val="auto"/>
                <w:szCs w:val="21"/>
                <w:highlight w:val="none"/>
              </w:rPr>
              <w:t>磋商报价要求</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报价包括完成本项目“项目需求”中所列所有服务内容产生的所有成本、项目验收、税金、利润等费用，采购人不再另行支付任何费用。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合同履行期限和地点</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color w:val="auto"/>
                <w:szCs w:val="21"/>
                <w:highlight w:val="none"/>
              </w:rPr>
            </w:pPr>
            <w:r>
              <w:rPr>
                <w:rFonts w:hint="eastAsia" w:ascii="宋体" w:hAnsi="宋体" w:cs="宋体"/>
                <w:color w:val="auto"/>
                <w:szCs w:val="21"/>
                <w:highlight w:val="none"/>
              </w:rPr>
              <w:t>1.合同履行期限：</w:t>
            </w:r>
            <w:bookmarkStart w:id="50" w:name="OLE_LINK45"/>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日—2026年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日</w:t>
            </w:r>
            <w:bookmarkEnd w:id="50"/>
            <w:r>
              <w:rPr>
                <w:rFonts w:hint="eastAsia" w:ascii="宋体" w:hAnsi="宋体" w:cs="宋体"/>
                <w:color w:val="auto"/>
                <w:szCs w:val="21"/>
                <w:highlight w:val="none"/>
              </w:rPr>
              <w:t>；</w:t>
            </w:r>
          </w:p>
          <w:p>
            <w:pPr>
              <w:pStyle w:val="19"/>
              <w:spacing w:after="0" w:line="440" w:lineRule="exact"/>
              <w:rPr>
                <w:rFonts w:ascii="宋体" w:hAnsi="宋体" w:cs="宋体"/>
                <w:color w:val="auto"/>
                <w:szCs w:val="21"/>
                <w:highlight w:val="none"/>
              </w:rPr>
            </w:pPr>
            <w:r>
              <w:rPr>
                <w:rFonts w:hint="eastAsia" w:ascii="宋体" w:hAnsi="宋体" w:cs="宋体"/>
                <w:color w:val="auto"/>
                <w:szCs w:val="21"/>
                <w:highlight w:val="none"/>
              </w:rPr>
              <w:t>2.广西区内采购人指定地点。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b/>
                <w:bCs/>
                <w:color w:val="auto"/>
                <w:szCs w:val="21"/>
                <w:highlight w:val="none"/>
              </w:rPr>
              <w:t>▲</w:t>
            </w:r>
            <w:r>
              <w:rPr>
                <w:rFonts w:hint="eastAsia" w:ascii="宋体" w:hAnsi="宋体" w:cs="宋体"/>
                <w:color w:val="auto"/>
                <w:szCs w:val="21"/>
                <w:highlight w:val="none"/>
              </w:rPr>
              <w:t>付款条件</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宋体" w:hAnsi="宋体" w:cs="宋体"/>
                <w:b/>
                <w:color w:val="auto"/>
                <w:szCs w:val="21"/>
                <w:highlight w:val="none"/>
              </w:rPr>
            </w:pPr>
            <w:bookmarkStart w:id="51" w:name="OLE_LINK46"/>
            <w:r>
              <w:rPr>
                <w:rFonts w:hint="eastAsia" w:ascii="宋体" w:hAnsi="宋体" w:cs="宋体"/>
                <w:bCs/>
                <w:color w:val="auto"/>
                <w:szCs w:val="21"/>
                <w:highlight w:val="none"/>
              </w:rPr>
              <w:t>采购人应于合同签订后20个工作日内，向成交供应商支付合同款的30%作为定金</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供应商持续提供运维服务满2个月后，采购人向供应商支付剩余60%合同款；待项目通过年度验收并确认合格后，采购人向供应商支付剩余10%合同款。成交供应商应于每次收到合同款后3个工作日内，向采购人出具合法有效的增值税专用发票，发票金额须与当次收款金额完全相符。</w:t>
            </w:r>
            <w:bookmarkEnd w:id="51"/>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▲售后服务</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宋体" w:hAnsi="宋体" w:cs="宋体"/>
                <w:color w:val="auto"/>
                <w:szCs w:val="21"/>
                <w:highlight w:val="none"/>
              </w:rPr>
            </w:pPr>
            <w:bookmarkStart w:id="52" w:name="OLE_LINK47"/>
            <w:r>
              <w:rPr>
                <w:rFonts w:hint="eastAsia" w:ascii="宋体" w:hAnsi="宋体" w:cs="宋体"/>
                <w:color w:val="auto"/>
                <w:szCs w:val="21"/>
                <w:highlight w:val="none"/>
              </w:rPr>
              <w:t>1.售后服务：</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（1）质量保证期内按采购人指定的地点上门服务</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上门服务费用包含在报价中</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（2）服务期内提供7×24小时电话技术支持（包含电话、邮件、远程桌面支持等）</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（3）接到系统故障通知后，工作日10分钟响应，必要时1小时内到现场，非工作日30分钟响应，必要时2小时内到达现场。</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（4）定期回访；</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2.在质量保证期内，通过热线咨询电话、呼叫中心方式实现电话技术支持，提供日常系统疑问咨询解答，帮助业务人员顺利完成系统日常运作。</w:t>
            </w:r>
          </w:p>
          <w:p>
            <w:pPr>
              <w:spacing w:line="440" w:lineRule="exact"/>
              <w:jc w:val="left"/>
              <w:rPr>
                <w:rFonts w:ascii="宋体" w:hAnsi="宋体" w:cs="宋体"/>
                <w:color w:val="auto"/>
                <w:szCs w:val="21"/>
                <w:highlight w:val="none"/>
              </w:rPr>
            </w:pPr>
            <w:r>
              <w:rPr>
                <w:rFonts w:hint="eastAsia" w:ascii="宋体" w:hAnsi="宋体" w:cs="宋体"/>
                <w:color w:val="auto"/>
                <w:szCs w:val="21"/>
                <w:highlight w:val="none"/>
              </w:rPr>
              <w:t>3.在质量保证期内，通过在线帮助中心、电子邮件、QQ网络技术支持，及时在线解答采购单位人员咨询疑问。</w:t>
            </w:r>
            <w:bookmarkEnd w:id="52"/>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8496" w:type="dxa"/>
            <w:gridSpan w:val="4"/>
            <w:tcBorders>
              <w:top w:val="single" w:color="auto" w:sz="4" w:space="0"/>
              <w:left w:val="single" w:color="auto" w:sz="4" w:space="0"/>
              <w:bottom w:val="single" w:color="auto" w:sz="4" w:space="0"/>
              <w:right w:val="single" w:color="auto" w:sz="4" w:space="0"/>
            </w:tcBorders>
            <w:vAlign w:val="center"/>
          </w:tcPr>
          <w:p>
            <w:pPr>
              <w:pStyle w:val="213"/>
              <w:spacing w:before="0" w:after="0" w:line="440" w:lineRule="exact"/>
              <w:rPr>
                <w:rFonts w:ascii="宋体" w:hAnsi="宋体" w:cs="宋体"/>
                <w:bCs w:val="0"/>
                <w:color w:val="auto"/>
                <w:spacing w:val="0"/>
                <w:kern w:val="2"/>
                <w:sz w:val="21"/>
                <w:szCs w:val="21"/>
                <w:highlight w:val="none"/>
              </w:rPr>
            </w:pPr>
            <w:bookmarkStart w:id="53" w:name="OLE_LINK48"/>
            <w:r>
              <w:rPr>
                <w:rFonts w:hint="eastAsia" w:ascii="宋体" w:hAnsi="宋体" w:cs="宋体"/>
                <w:bCs w:val="0"/>
                <w:color w:val="auto"/>
                <w:spacing w:val="0"/>
                <w:kern w:val="2"/>
                <w:sz w:val="21"/>
                <w:szCs w:val="21"/>
                <w:highlight w:val="none"/>
              </w:rPr>
              <w:t>1.版权归属：应用软件版权归广西壮族自治区农业信息中心所有，本项目采购软件或基于开源软件所涉及的二次开发部分知识产权归采购人所有。</w:t>
            </w:r>
          </w:p>
          <w:p>
            <w:pPr>
              <w:pStyle w:val="213"/>
              <w:spacing w:before="0" w:after="0" w:line="440" w:lineRule="exact"/>
              <w:rPr>
                <w:rFonts w:ascii="宋体" w:hAnsi="宋体" w:cs="宋体"/>
                <w:bCs w:val="0"/>
                <w:color w:val="auto"/>
                <w:spacing w:val="0"/>
                <w:kern w:val="2"/>
                <w:sz w:val="21"/>
                <w:szCs w:val="21"/>
                <w:highlight w:val="none"/>
              </w:rPr>
            </w:pPr>
            <w:r>
              <w:rPr>
                <w:rFonts w:hint="eastAsia" w:ascii="宋体" w:hAnsi="宋体" w:cs="宋体"/>
                <w:bCs w:val="0"/>
                <w:color w:val="auto"/>
                <w:spacing w:val="0"/>
                <w:kern w:val="2"/>
                <w:sz w:val="21"/>
                <w:szCs w:val="21"/>
                <w:highlight w:val="none"/>
              </w:rPr>
              <w:t>2.供应商请在响应文件中提供具体的服务方案和服务机构的详细情况（包括服务机构的地址、服务人员姓名、联系方式等）。</w:t>
            </w:r>
            <w:bookmarkEnd w:id="53"/>
          </w:p>
        </w:tc>
      </w:tr>
    </w:tbl>
    <w:p>
      <w:pPr>
        <w:pStyle w:val="19"/>
        <w:spacing w:line="440" w:lineRule="exact"/>
        <w:rPr>
          <w:rFonts w:ascii="宋体" w:hAnsi="宋体" w:cs="宋体"/>
          <w:b/>
          <w:color w:val="auto"/>
          <w:sz w:val="24"/>
          <w:highlight w:val="none"/>
        </w:rPr>
        <w:sectPr>
          <w:pgSz w:w="11906" w:h="16838"/>
          <w:pgMar w:top="1134" w:right="1247" w:bottom="1134" w:left="1247" w:header="851" w:footer="992" w:gutter="0"/>
          <w:cols w:space="720" w:num="1"/>
          <w:docGrid w:linePitch="312" w:charSpace="0"/>
        </w:sectPr>
      </w:pPr>
    </w:p>
    <w:p>
      <w:pPr>
        <w:pStyle w:val="19"/>
        <w:spacing w:line="440" w:lineRule="exact"/>
        <w:rPr>
          <w:rFonts w:ascii="宋体" w:hAnsi="宋体" w:cs="宋体"/>
          <w:color w:val="auto"/>
          <w:sz w:val="32"/>
          <w:szCs w:val="32"/>
          <w:highlight w:val="none"/>
        </w:rPr>
      </w:pPr>
      <w:r>
        <w:rPr>
          <w:rFonts w:hint="eastAsia" w:ascii="宋体" w:hAnsi="宋体" w:cs="宋体"/>
          <w:color w:val="auto"/>
          <w:sz w:val="32"/>
          <w:szCs w:val="32"/>
          <w:highlight w:val="none"/>
        </w:rPr>
        <w:t>附件1：</w:t>
      </w:r>
    </w:p>
    <w:p>
      <w:pPr>
        <w:spacing w:before="7" w:line="440" w:lineRule="exact"/>
        <w:rPr>
          <w:rFonts w:ascii="宋体" w:hAnsi="宋体" w:cs="宋体"/>
          <w:color w:val="auto"/>
          <w:sz w:val="17"/>
          <w:szCs w:val="17"/>
          <w:highlight w:val="none"/>
        </w:rPr>
      </w:pPr>
    </w:p>
    <w:p>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节能产品政府采购品目清单</w:t>
      </w:r>
    </w:p>
    <w:tbl>
      <w:tblPr>
        <w:tblStyle w:val="41"/>
        <w:tblW w:w="9452" w:type="dxa"/>
        <w:tblInd w:w="93" w:type="dxa"/>
        <w:tblLayout w:type="fixed"/>
        <w:tblCellMar>
          <w:top w:w="0" w:type="dxa"/>
          <w:left w:w="108" w:type="dxa"/>
          <w:bottom w:w="0" w:type="dxa"/>
          <w:right w:w="108" w:type="dxa"/>
        </w:tblCellMar>
      </w:tblPr>
      <w:tblGrid>
        <w:gridCol w:w="660"/>
        <w:gridCol w:w="1116"/>
        <w:gridCol w:w="1516"/>
        <w:gridCol w:w="1620"/>
        <w:gridCol w:w="4540"/>
      </w:tblGrid>
      <w:tr>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noWrap/>
          </w:tcPr>
          <w:p>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品目序号</w:t>
            </w:r>
          </w:p>
        </w:tc>
        <w:tc>
          <w:tcPr>
            <w:tcW w:w="4252" w:type="dxa"/>
            <w:gridSpan w:val="3"/>
            <w:tcBorders>
              <w:top w:val="single" w:color="000000" w:sz="8" w:space="0"/>
              <w:left w:val="nil"/>
              <w:bottom w:val="single" w:color="000000" w:sz="8" w:space="0"/>
              <w:right w:val="single" w:color="000000" w:sz="8" w:space="0"/>
            </w:tcBorders>
            <w:noWrap/>
            <w:vAlign w:val="center"/>
          </w:tcPr>
          <w:p>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名称</w:t>
            </w:r>
          </w:p>
        </w:tc>
        <w:tc>
          <w:tcPr>
            <w:tcW w:w="4540" w:type="dxa"/>
            <w:tcBorders>
              <w:top w:val="single" w:color="000000" w:sz="8" w:space="0"/>
              <w:left w:val="nil"/>
              <w:bottom w:val="single" w:color="000000" w:sz="8" w:space="0"/>
              <w:right w:val="single" w:color="000000" w:sz="8" w:space="0"/>
            </w:tcBorders>
            <w:noWrap/>
            <w:vAlign w:val="center"/>
          </w:tcPr>
          <w:p>
            <w:pPr>
              <w:widowControl/>
              <w:spacing w:line="240" w:lineRule="atLeast"/>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依据的标准</w:t>
            </w:r>
          </w:p>
        </w:tc>
      </w:tr>
      <w:tr>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★A02010104台式计算机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★A02010105便携式计算机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735" w:hRule="atLeast"/>
        </w:trPr>
        <w:tc>
          <w:tcPr>
            <w:tcW w:w="660" w:type="dxa"/>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★A02010107平板式微型计算机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《微型计算机能效限定值及能效等级》（GB28380）</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A02010601打印设备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A0201060101喷墨打印机</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★A0201060102激光打印机</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★A0201060104针式打印机</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A02010604显示设备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★A0201060401液晶显示器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《计算机显示器能效限定值及能效等级》（GB21520）</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A02010609图形图像输入设备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A0201060901扫描仪</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《投影机能效限定值及能效等级》（GB32028）</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《复印机、打印机和传真机能效限定值及能效等级》（GB21521）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A02051901离心泵</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《清水离心泵能效限定值及节能评价值》（GB19762）</w:t>
            </w:r>
          </w:p>
        </w:tc>
      </w:tr>
      <w:tr>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★A02052301制冷压缩机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水源热泵机组</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《水（地）源热泵机组能效限定值及能效等级》（GB30721）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《溴化锂吸收式冷水机组能效限定值及能效等级》（GB29540）</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★A02052305空调机组</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多联式空调（热泵）机组(制冷量&gt;14000W)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单元式空气调节机(制冷量&gt;14000W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★A02052309专用制冷、空调设备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机房空调</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《单元式空气调节机能效限定值及能效等级》（GB19576）</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A02052399其他制冷空调设备</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冷却塔</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《中小型三相异步电动机能效限定值及能效等级》（GB18613）</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配电变压器</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《三相配电变压器能效限定值及能效等级》（GB20052）</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管型荧光灯镇流器</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《管形荧光灯镇流器能效限定值及能效等级》（GB17896）</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A0206180101电冰箱</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《家用电冰箱耗电量限定值及能效等级》（GB 12021.2）</w:t>
            </w:r>
          </w:p>
        </w:tc>
      </w:tr>
      <w:tr>
        <w:tblPrEx>
          <w:tblCellMar>
            <w:top w:w="0" w:type="dxa"/>
            <w:left w:w="108" w:type="dxa"/>
            <w:bottom w:w="0" w:type="dxa"/>
            <w:right w:w="108" w:type="dxa"/>
          </w:tblCellMar>
        </w:tblPrEx>
        <w:trPr>
          <w:trHeight w:val="97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★A0206180203空调机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房间空气调节器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多联式空调（热泵）机组（制冷量≤ 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《多联式空调（热泵）机组能效限定值及能源效率等级》（GB21454）</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单元式空气调节机(制冷量≤14000W)</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A0206180301洗衣机</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《电动洗衣机能效水效限定值及等级》（GB12021.4）</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A02061808热水器</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★电热水器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《储水式电热水器能效限定值及能效等级》（GB21519）</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燃气热水器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热泵热水器</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《热泵热水机（器）能效限定值及能效等级》（GB29541）</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spacing w:line="240" w:lineRule="atLeast"/>
              <w:jc w:val="left"/>
              <w:rPr>
                <w:rFonts w:ascii="宋体" w:hAnsi="宋体" w:cs="宋体"/>
                <w:color w:val="auto"/>
                <w:kern w:val="0"/>
                <w:sz w:val="20"/>
                <w:szCs w:val="20"/>
                <w:highlight w:val="none"/>
              </w:rPr>
            </w:pP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太阳能热水系统</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《家用太阳能热水系统能效限定值及能效等级》（GB26969）</w:t>
            </w:r>
          </w:p>
        </w:tc>
      </w:tr>
      <w:tr>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11</w:t>
            </w:r>
          </w:p>
        </w:tc>
        <w:tc>
          <w:tcPr>
            <w:tcW w:w="1116" w:type="dxa"/>
            <w:vMerge w:val="restart"/>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A020619照明设备</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《普通照明用双端荧光灯能效限定值及能效等级》（GB19043）</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LED道路/隧道照明产品</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《道路和隧道照明用LED灯具能效限定值及能效等级》（GB37478）</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LED筒灯</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普通照明用非定向自镇流LED灯</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《室内照明用LED产品能效限定值及能效等级》（GB30255）</w:t>
            </w:r>
          </w:p>
        </w:tc>
      </w:tr>
      <w:tr>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12</w:t>
            </w:r>
          </w:p>
        </w:tc>
        <w:tc>
          <w:tcPr>
            <w:tcW w:w="11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★A020910电视设备</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A02091001普通电视设备（电视机）</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《平板电视能效限定值及能效等级》（GB24850）</w:t>
            </w:r>
          </w:p>
        </w:tc>
      </w:tr>
      <w:tr>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13</w:t>
            </w:r>
          </w:p>
        </w:tc>
        <w:tc>
          <w:tcPr>
            <w:tcW w:w="11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★A020911视频设备</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A02091107视频监控设备</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监视器</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14</w:t>
            </w:r>
          </w:p>
        </w:tc>
        <w:tc>
          <w:tcPr>
            <w:tcW w:w="11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A031210饮食炊事机械</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《商用燃气灶具能效限定值及能效等级》（GB30531）</w:t>
            </w:r>
          </w:p>
        </w:tc>
      </w:tr>
      <w:tr>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15</w:t>
            </w:r>
          </w:p>
        </w:tc>
        <w:tc>
          <w:tcPr>
            <w:tcW w:w="1116" w:type="dxa"/>
            <w:vMerge w:val="restart"/>
            <w:tcBorders>
              <w:top w:val="nil"/>
              <w:left w:val="single" w:color="auto" w:sz="8" w:space="0"/>
              <w:bottom w:val="single" w:color="000000"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★A060805便器</w:t>
            </w: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《坐便器水效限定值及水效等级》（GB25502）</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《蹲便器用水效率限定值及用水效率等级》（GB30717）</w:t>
            </w:r>
          </w:p>
        </w:tc>
      </w:tr>
      <w:tr>
        <w:tblPrEx>
          <w:tblCellMar>
            <w:top w:w="0" w:type="dxa"/>
            <w:left w:w="108" w:type="dxa"/>
            <w:bottom w:w="0" w:type="dxa"/>
            <w:right w:w="108" w:type="dxa"/>
          </w:tblCellMar>
        </w:tblPrEx>
        <w:trPr>
          <w:trHeight w:val="495" w:hRule="atLeast"/>
        </w:trPr>
        <w:tc>
          <w:tcPr>
            <w:tcW w:w="660" w:type="dxa"/>
            <w:vMerge w:val="continue"/>
            <w:tcBorders>
              <w:top w:val="nil"/>
              <w:left w:val="single" w:color="auto" w:sz="8" w:space="0"/>
              <w:bottom w:val="single" w:color="auto"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116" w:type="dxa"/>
            <w:vMerge w:val="continue"/>
            <w:tcBorders>
              <w:top w:val="nil"/>
              <w:left w:val="single" w:color="auto" w:sz="8" w:space="0"/>
              <w:bottom w:val="single" w:color="000000" w:sz="8" w:space="0"/>
              <w:right w:val="single" w:color="auto" w:sz="8" w:space="0"/>
            </w:tcBorders>
            <w:vAlign w:val="center"/>
          </w:tcPr>
          <w:p>
            <w:pPr>
              <w:widowControl/>
              <w:spacing w:line="240" w:lineRule="atLeast"/>
              <w:jc w:val="left"/>
              <w:rPr>
                <w:rFonts w:ascii="宋体" w:hAnsi="宋体" w:cs="宋体"/>
                <w:color w:val="auto"/>
                <w:kern w:val="0"/>
                <w:sz w:val="20"/>
                <w:szCs w:val="20"/>
                <w:highlight w:val="none"/>
              </w:rPr>
            </w:pPr>
          </w:p>
        </w:tc>
        <w:tc>
          <w:tcPr>
            <w:tcW w:w="1516"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w:t>
            </w:r>
          </w:p>
        </w:tc>
        <w:tc>
          <w:tcPr>
            <w:tcW w:w="1620" w:type="dxa"/>
            <w:tcBorders>
              <w:top w:val="nil"/>
              <w:left w:val="nil"/>
              <w:bottom w:val="single" w:color="auto" w:sz="8" w:space="0"/>
              <w:right w:val="single" w:color="auto"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auto" w:sz="8" w:space="0"/>
              <w:right w:val="single" w:color="auto"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《小便器用水效率限定值及用水效率等级》（GB28377）</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《水嘴用水效率限定值及用水效率等级》（GB 25501）</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《便器冲洗阀用水效率限定值及用水效率等级》（GB28379）</w:t>
            </w:r>
          </w:p>
        </w:tc>
      </w:tr>
      <w:tr>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1620" w:type="dxa"/>
            <w:tcBorders>
              <w:top w:val="nil"/>
              <w:left w:val="nil"/>
              <w:bottom w:val="single" w:color="000000" w:sz="8" w:space="0"/>
              <w:right w:val="single" w:color="000000" w:sz="8" w:space="0"/>
            </w:tcBorders>
            <w:noWrap/>
            <w:vAlign w:val="center"/>
          </w:tcPr>
          <w:p>
            <w:pPr>
              <w:widowControl/>
              <w:spacing w:line="240" w:lineRule="atLeast"/>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4540" w:type="dxa"/>
            <w:tcBorders>
              <w:top w:val="nil"/>
              <w:left w:val="nil"/>
              <w:bottom w:val="single" w:color="000000" w:sz="8" w:space="0"/>
              <w:right w:val="single" w:color="000000" w:sz="8" w:space="0"/>
            </w:tcBorders>
            <w:noWrap/>
            <w:vAlign w:val="center"/>
          </w:tcPr>
          <w:p>
            <w:pPr>
              <w:widowControl/>
              <w:spacing w:line="240" w:lineRule="atLeas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《淋浴器用水效率限定值及用水效率等级》（GB28378）</w:t>
            </w:r>
          </w:p>
        </w:tc>
      </w:tr>
    </w:tbl>
    <w:p>
      <w:pPr>
        <w:widowControl/>
        <w:spacing w:line="240" w:lineRule="atLeast"/>
        <w:rPr>
          <w:rFonts w:ascii="宋体" w:hAnsi="宋体" w:cs="宋体"/>
          <w:color w:val="auto"/>
          <w:sz w:val="20"/>
          <w:szCs w:val="20"/>
          <w:highlight w:val="none"/>
        </w:rPr>
      </w:pPr>
    </w:p>
    <w:p>
      <w:pPr>
        <w:pStyle w:val="19"/>
        <w:spacing w:line="440" w:lineRule="exact"/>
        <w:rPr>
          <w:rFonts w:ascii="宋体" w:hAnsi="宋体" w:cs="宋体"/>
          <w:color w:val="auto"/>
          <w:szCs w:val="21"/>
          <w:highlight w:val="none"/>
        </w:rPr>
      </w:pPr>
      <w:r>
        <w:rPr>
          <w:rFonts w:hint="eastAsia" w:ascii="宋体" w:hAnsi="宋体" w:cs="宋体"/>
          <w:color w:val="auto"/>
          <w:spacing w:val="-3"/>
          <w:szCs w:val="21"/>
          <w:highlight w:val="none"/>
        </w:rPr>
        <w:t>注：1.节能产品认证应依据相关国家标准的最新版本，依据国家标准中二级能效（水效）</w:t>
      </w:r>
      <w:r>
        <w:rPr>
          <w:rFonts w:hint="eastAsia" w:ascii="宋体" w:hAnsi="宋体" w:cs="宋体"/>
          <w:color w:val="auto"/>
          <w:szCs w:val="21"/>
          <w:highlight w:val="none"/>
        </w:rPr>
        <w:t>指标。</w:t>
      </w:r>
    </w:p>
    <w:p>
      <w:pPr>
        <w:pStyle w:val="19"/>
        <w:spacing w:line="440" w:lineRule="exact"/>
        <w:rPr>
          <w:rFonts w:ascii="宋体" w:hAnsi="宋体" w:cs="宋体"/>
          <w:color w:val="auto"/>
          <w:sz w:val="32"/>
          <w:szCs w:val="32"/>
          <w:highlight w:val="none"/>
        </w:rPr>
      </w:pPr>
      <w:r>
        <w:rPr>
          <w:rFonts w:hint="eastAsia" w:ascii="宋体" w:hAnsi="宋体" w:cs="宋体"/>
          <w:color w:val="auto"/>
          <w:szCs w:val="21"/>
          <w:highlight w:val="none"/>
        </w:rPr>
        <w:t>2</w:t>
      </w:r>
      <w:r>
        <w:rPr>
          <w:rFonts w:hint="eastAsia" w:ascii="宋体" w:hAnsi="宋体" w:cs="宋体"/>
          <w:b/>
          <w:bCs/>
          <w:color w:val="auto"/>
          <w:szCs w:val="21"/>
          <w:highlight w:val="none"/>
        </w:rPr>
        <w:t>.以“★”标注的为政府强制采购产品。</w:t>
      </w:r>
      <w:r>
        <w:rPr>
          <w:rFonts w:hint="eastAsia" w:ascii="宋体" w:hAnsi="宋体" w:cs="宋体"/>
          <w:color w:val="auto"/>
          <w:highlight w:val="none"/>
        </w:rPr>
        <w:br w:type="page"/>
      </w:r>
      <w:r>
        <w:rPr>
          <w:rFonts w:hint="eastAsia" w:ascii="宋体" w:hAnsi="宋体" w:cs="宋体"/>
          <w:color w:val="auto"/>
          <w:sz w:val="32"/>
          <w:szCs w:val="32"/>
          <w:highlight w:val="none"/>
        </w:rPr>
        <w:t>附件2：</w:t>
      </w:r>
    </w:p>
    <w:p>
      <w:pPr>
        <w:spacing w:line="440" w:lineRule="exact"/>
        <w:ind w:left="1871"/>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41"/>
        <w:tblW w:w="9600" w:type="dxa"/>
        <w:tblInd w:w="250" w:type="dxa"/>
        <w:tblLayout w:type="fixed"/>
        <w:tblCellMar>
          <w:top w:w="0" w:type="dxa"/>
          <w:left w:w="108" w:type="dxa"/>
          <w:bottom w:w="0" w:type="dxa"/>
          <w:right w:w="108" w:type="dxa"/>
        </w:tblCellMar>
      </w:tblPr>
      <w:tblGrid>
        <w:gridCol w:w="1700"/>
        <w:gridCol w:w="1383"/>
        <w:gridCol w:w="913"/>
        <w:gridCol w:w="1619"/>
        <w:gridCol w:w="2535"/>
        <w:gridCol w:w="1450"/>
      </w:tblGrid>
      <w:tr>
        <w:tblPrEx>
          <w:tblCellMar>
            <w:top w:w="0" w:type="dxa"/>
            <w:left w:w="108" w:type="dxa"/>
            <w:bottom w:w="0" w:type="dxa"/>
            <w:right w:w="108" w:type="dxa"/>
          </w:tblCellMar>
        </w:tblPrEx>
        <w:trPr>
          <w:trHeight w:val="285" w:hRule="atLeast"/>
        </w:trPr>
        <w:tc>
          <w:tcPr>
            <w:tcW w:w="1700" w:type="dxa"/>
            <w:tcBorders>
              <w:top w:val="single" w:color="auto" w:sz="4" w:space="0"/>
              <w:left w:val="single" w:color="auto" w:sz="4" w:space="0"/>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2535"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450" w:type="dxa"/>
            <w:tcBorders>
              <w:top w:val="single" w:color="auto" w:sz="4" w:space="0"/>
              <w:left w:val="nil"/>
              <w:bottom w:val="single" w:color="auto" w:sz="4" w:space="0"/>
              <w:right w:val="single" w:color="auto" w:sz="4" w:space="0"/>
            </w:tcBorders>
            <w:noWrap/>
            <w:vAlign w:val="center"/>
          </w:tcPr>
          <w:p>
            <w:pPr>
              <w:widowControl/>
              <w:spacing w:line="300" w:lineRule="exact"/>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CellMar>
            <w:top w:w="0" w:type="dxa"/>
            <w:left w:w="108" w:type="dxa"/>
            <w:bottom w:w="0" w:type="dxa"/>
            <w:right w:w="108" w:type="dxa"/>
          </w:tblCellMar>
        </w:tblPrEx>
        <w:trPr>
          <w:trHeight w:val="225" w:hRule="atLeast"/>
        </w:trPr>
        <w:tc>
          <w:tcPr>
            <w:tcW w:w="1700" w:type="dxa"/>
            <w:vMerge w:val="restart"/>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0"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rFonts w:ascii="宋体" w:hAnsi="宋体" w:cs="宋体"/>
                <w:b/>
                <w:bCs/>
                <w:color w:val="auto"/>
                <w:kern w:val="0"/>
                <w:sz w:val="18"/>
                <w:szCs w:val="18"/>
                <w:highlight w:val="none"/>
              </w:rPr>
            </w:pP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0" w:type="dxa"/>
            <w:tcBorders>
              <w:top w:val="nil"/>
              <w:left w:val="single" w:color="auto" w:sz="4" w:space="0"/>
              <w:bottom w:val="single" w:color="auto" w:sz="4" w:space="0"/>
              <w:right w:val="single" w:color="auto" w:sz="4" w:space="0"/>
            </w:tcBorders>
            <w:noWrap/>
            <w:vAlign w:val="bottom"/>
          </w:tcPr>
          <w:p>
            <w:pPr>
              <w:widowControl/>
              <w:spacing w:line="30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19"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2535"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450" w:type="dxa"/>
            <w:tcBorders>
              <w:top w:val="nil"/>
              <w:left w:val="nil"/>
              <w:bottom w:val="single" w:color="auto" w:sz="4" w:space="0"/>
              <w:right w:val="single" w:color="auto" w:sz="4" w:space="0"/>
            </w:tcBorders>
            <w:noWrap/>
            <w:vAlign w:val="center"/>
          </w:tcPr>
          <w:p>
            <w:pPr>
              <w:widowControl/>
              <w:spacing w:line="30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spacing w:line="240" w:lineRule="atLeast"/>
        <w:ind w:firstLine="525" w:firstLineChars="250"/>
        <w:rPr>
          <w:rFonts w:ascii="宋体" w:hAnsi="宋体" w:cs="宋体"/>
          <w:color w:val="auto"/>
          <w:szCs w:val="21"/>
          <w:highlight w:val="none"/>
        </w:rPr>
      </w:pPr>
    </w:p>
    <w:p>
      <w:pPr>
        <w:spacing w:line="240" w:lineRule="atLeast"/>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spacing w:line="440" w:lineRule="exact"/>
        <w:ind w:firstLine="482" w:firstLineChars="200"/>
        <w:rPr>
          <w:rFonts w:ascii="宋体" w:hAnsi="宋体" w:cs="宋体"/>
          <w:b/>
          <w:color w:val="auto"/>
          <w:sz w:val="24"/>
          <w:highlight w:val="none"/>
        </w:rPr>
      </w:pPr>
    </w:p>
    <w:p>
      <w:pPr>
        <w:pStyle w:val="4"/>
        <w:spacing w:line="440" w:lineRule="exact"/>
        <w:jc w:val="center"/>
        <w:rPr>
          <w:rFonts w:ascii="宋体" w:hAnsi="宋体" w:cs="宋体"/>
          <w:color w:val="auto"/>
          <w:sz w:val="32"/>
          <w:szCs w:val="32"/>
          <w:highlight w:val="none"/>
        </w:rPr>
      </w:pPr>
      <w:bookmarkStart w:id="54" w:name="_Toc88747294"/>
      <w:r>
        <w:rPr>
          <w:rFonts w:hint="eastAsia" w:ascii="宋体" w:hAnsi="宋体" w:cs="宋体"/>
          <w:color w:val="auto"/>
          <w:sz w:val="32"/>
          <w:szCs w:val="32"/>
          <w:highlight w:val="none"/>
        </w:rPr>
        <w:t>第四章 响应文件格式</w:t>
      </w:r>
      <w:bookmarkEnd w:id="54"/>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pacing w:line="440" w:lineRule="exact"/>
        <w:jc w:val="left"/>
        <w:rPr>
          <w:rFonts w:ascii="宋体" w:hAnsi="宋体" w:cs="宋体"/>
          <w:b/>
          <w:bCs/>
          <w:color w:val="auto"/>
          <w:szCs w:val="21"/>
          <w:highlight w:val="none"/>
        </w:rPr>
      </w:pPr>
      <w:r>
        <w:rPr>
          <w:rFonts w:hint="eastAsia" w:ascii="宋体" w:hAnsi="宋体" w:cs="宋体"/>
          <w:b/>
          <w:color w:val="auto"/>
          <w:sz w:val="32"/>
          <w:szCs w:val="32"/>
          <w:highlight w:val="none"/>
        </w:rPr>
        <w:br w:type="page"/>
      </w:r>
      <w:r>
        <w:rPr>
          <w:rFonts w:hint="eastAsia" w:ascii="宋体" w:hAnsi="宋体" w:cs="宋体"/>
          <w:b/>
          <w:bCs/>
          <w:color w:val="auto"/>
          <w:szCs w:val="21"/>
          <w:highlight w:val="none"/>
        </w:rPr>
        <w:t>一、响应文件袋外层包装封面格式</w:t>
      </w: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1.所有文件（资格证明文件、商务和技术文件、报价文件）的外装封面格式：</w:t>
      </w:r>
    </w:p>
    <w:p>
      <w:pPr>
        <w:snapToGrid w:val="0"/>
        <w:spacing w:before="120" w:beforeLines="50" w:after="50" w:line="440" w:lineRule="exact"/>
        <w:jc w:val="center"/>
        <w:rPr>
          <w:rFonts w:ascii="宋体" w:hAnsi="宋体" w:cs="宋体"/>
          <w:bCs/>
          <w:color w:val="auto"/>
          <w:szCs w:val="21"/>
          <w:highlight w:val="none"/>
        </w:rPr>
      </w:pPr>
    </w:p>
    <w:p>
      <w:pPr>
        <w:snapToGrid w:val="0"/>
        <w:spacing w:before="120" w:beforeLines="50" w:after="50" w:line="440" w:lineRule="exact"/>
        <w:jc w:val="center"/>
        <w:rPr>
          <w:rFonts w:ascii="宋体" w:hAnsi="宋体" w:cs="宋体"/>
          <w:bCs/>
          <w:color w:val="auto"/>
          <w:szCs w:val="21"/>
          <w:highlight w:val="none"/>
        </w:rPr>
      </w:pPr>
    </w:p>
    <w:p>
      <w:pPr>
        <w:snapToGrid w:val="0"/>
        <w:spacing w:before="120" w:beforeLines="50" w:after="50" w:line="440" w:lineRule="exact"/>
        <w:jc w:val="center"/>
        <w:rPr>
          <w:rFonts w:ascii="宋体" w:hAnsi="宋体" w:cs="宋体"/>
          <w:bCs/>
          <w:color w:val="auto"/>
          <w:szCs w:val="21"/>
          <w:highlight w:val="none"/>
        </w:rPr>
      </w:pPr>
    </w:p>
    <w:p>
      <w:pPr>
        <w:snapToGrid w:val="0"/>
        <w:spacing w:before="120" w:beforeLines="50" w:after="50" w:line="440" w:lineRule="exact"/>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响  应 文 件 袋</w:t>
      </w:r>
    </w:p>
    <w:p>
      <w:pPr>
        <w:snapToGrid w:val="0"/>
        <w:spacing w:before="120" w:beforeLines="50" w:after="50" w:line="440" w:lineRule="exact"/>
        <w:jc w:val="center"/>
        <w:rPr>
          <w:rFonts w:ascii="宋体" w:hAnsi="宋体" w:cs="宋体"/>
          <w:bCs/>
          <w:color w:val="auto"/>
          <w:sz w:val="52"/>
          <w:szCs w:val="52"/>
          <w:highlight w:val="none"/>
        </w:rPr>
      </w:pPr>
    </w:p>
    <w:p>
      <w:pPr>
        <w:snapToGrid w:val="0"/>
        <w:spacing w:before="120" w:beforeLines="50" w:after="50" w:line="440" w:lineRule="exact"/>
        <w:jc w:val="center"/>
        <w:rPr>
          <w:rFonts w:ascii="宋体" w:hAnsi="宋体" w:cs="宋体"/>
          <w:bCs/>
          <w:color w:val="auto"/>
          <w:sz w:val="52"/>
          <w:szCs w:val="52"/>
          <w:highlight w:val="none"/>
        </w:rPr>
      </w:pP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450" w:firstLineChars="150"/>
        <w:rPr>
          <w:rFonts w:ascii="宋体" w:hAnsi="宋体" w:cs="宋体"/>
          <w:bCs/>
          <w:color w:val="auto"/>
          <w:sz w:val="30"/>
          <w:szCs w:val="30"/>
          <w:highlight w:val="none"/>
        </w:rPr>
      </w:pPr>
    </w:p>
    <w:p>
      <w:pPr>
        <w:snapToGrid w:val="0"/>
        <w:spacing w:before="120" w:beforeLines="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 xml:space="preserve">项目编号： </w:t>
      </w:r>
    </w:p>
    <w:p>
      <w:pPr>
        <w:snapToGrid w:val="0"/>
        <w:spacing w:before="120" w:beforeLines="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供应商名称：</w:t>
      </w:r>
      <w:r>
        <w:rPr>
          <w:rFonts w:hint="eastAsia" w:ascii="宋体" w:hAnsi="宋体" w:cs="宋体"/>
          <w:bCs/>
          <w:color w:val="auto"/>
          <w:sz w:val="30"/>
          <w:szCs w:val="30"/>
          <w:highlight w:val="none"/>
          <w:u w:val="single"/>
        </w:rPr>
        <w:t xml:space="preserve">             全称           </w:t>
      </w:r>
      <w:r>
        <w:rPr>
          <w:rFonts w:hint="eastAsia" w:ascii="宋体" w:hAnsi="宋体" w:cs="宋体"/>
          <w:bCs/>
          <w:color w:val="auto"/>
          <w:sz w:val="30"/>
          <w:szCs w:val="30"/>
          <w:highlight w:val="none"/>
        </w:rPr>
        <w:t>（加盖单位电子公章）</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360" w:firstLineChars="150"/>
        <w:rPr>
          <w:rFonts w:ascii="宋体" w:hAnsi="宋体" w:cs="宋体"/>
          <w:bCs/>
          <w:color w:val="auto"/>
          <w:sz w:val="30"/>
          <w:szCs w:val="30"/>
          <w:highlight w:val="none"/>
        </w:rPr>
      </w:pPr>
      <w:r>
        <w:rPr>
          <w:rFonts w:hint="eastAsia" w:ascii="宋体" w:hAnsi="宋体" w:cs="宋体"/>
          <w:bCs/>
          <w:color w:val="auto"/>
          <w:sz w:val="24"/>
          <w:highlight w:val="none"/>
        </w:rPr>
        <w:t>在首次响应文件提交截止时间之前不得解密</w:t>
      </w:r>
    </w:p>
    <w:p>
      <w:pPr>
        <w:pStyle w:val="11"/>
        <w:snapToGrid w:val="0"/>
        <w:spacing w:before="50" w:after="50" w:line="440" w:lineRule="exact"/>
        <w:ind w:firstLine="450" w:firstLineChars="150"/>
        <w:rPr>
          <w:rFonts w:ascii="宋体" w:hAnsi="宋体" w:cs="宋体"/>
          <w:bCs/>
          <w:color w:val="auto"/>
          <w:sz w:val="30"/>
          <w:szCs w:val="30"/>
          <w:highlight w:val="none"/>
        </w:rPr>
      </w:pPr>
    </w:p>
    <w:p>
      <w:pPr>
        <w:pStyle w:val="11"/>
        <w:snapToGrid w:val="0"/>
        <w:spacing w:before="50" w:after="50" w:line="440" w:lineRule="exact"/>
        <w:ind w:firstLine="0"/>
        <w:rPr>
          <w:rFonts w:ascii="宋体" w:hAnsi="宋体" w:cs="宋体"/>
          <w:bCs/>
          <w:color w:val="auto"/>
          <w:sz w:val="30"/>
          <w:szCs w:val="30"/>
          <w:highlight w:val="none"/>
        </w:rPr>
      </w:pPr>
    </w:p>
    <w:p>
      <w:pPr>
        <w:pStyle w:val="11"/>
        <w:snapToGrid w:val="0"/>
        <w:spacing w:before="50" w:after="50" w:line="440" w:lineRule="exact"/>
        <w:ind w:firstLine="450" w:firstLineChars="150"/>
        <w:jc w:val="center"/>
        <w:rPr>
          <w:rFonts w:ascii="宋体" w:hAnsi="宋体" w:cs="宋体"/>
          <w:color w:val="auto"/>
          <w:szCs w:val="21"/>
          <w:highlight w:val="none"/>
        </w:rPr>
      </w:pPr>
      <w:r>
        <w:rPr>
          <w:rFonts w:hint="eastAsia" w:ascii="宋体" w:hAnsi="宋体" w:cs="宋体"/>
          <w:bCs/>
          <w:color w:val="auto"/>
          <w:sz w:val="30"/>
          <w:szCs w:val="30"/>
          <w:highlight w:val="none"/>
        </w:rPr>
        <w:t xml:space="preserve">                          年    月    日</w:t>
      </w:r>
    </w:p>
    <w:p>
      <w:pPr>
        <w:snapToGrid w:val="0"/>
        <w:spacing w:before="120" w:beforeLines="50" w:after="50" w:line="440" w:lineRule="exact"/>
        <w:outlineLvl w:val="1"/>
        <w:rPr>
          <w:rFonts w:ascii="宋体" w:hAnsi="宋体" w:cs="宋体"/>
          <w:b/>
          <w:bCs/>
          <w:color w:val="auto"/>
          <w:szCs w:val="21"/>
          <w:highlight w:val="none"/>
        </w:rPr>
      </w:pPr>
      <w:bookmarkStart w:id="55" w:name="_Toc254970557"/>
      <w:bookmarkStart w:id="56" w:name="_Toc254970698"/>
      <w:r>
        <w:rPr>
          <w:rFonts w:hint="eastAsia" w:ascii="宋体" w:hAnsi="宋体" w:cs="宋体"/>
          <w:b/>
          <w:bCs/>
          <w:color w:val="auto"/>
          <w:szCs w:val="21"/>
          <w:highlight w:val="none"/>
        </w:rPr>
        <w:br w:type="page"/>
      </w:r>
      <w:bookmarkEnd w:id="55"/>
      <w:bookmarkEnd w:id="56"/>
      <w:r>
        <w:rPr>
          <w:rFonts w:hint="eastAsia" w:ascii="宋体" w:hAnsi="宋体" w:cs="宋体"/>
          <w:b/>
          <w:bCs/>
          <w:color w:val="auto"/>
          <w:szCs w:val="21"/>
          <w:highlight w:val="none"/>
        </w:rPr>
        <w:t>二、响应文件格式</w:t>
      </w: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1、资格证明文件格式：</w:t>
      </w: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（资格证明文件）</w:t>
      </w: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snapToGrid w:val="0"/>
        <w:spacing w:before="120" w:beforeLines="50" w:after="50"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pPr>
        <w:snapToGrid w:val="0"/>
        <w:spacing w:before="120" w:beforeLines="50" w:after="50" w:line="440" w:lineRule="exact"/>
        <w:jc w:val="center"/>
        <w:rPr>
          <w:rFonts w:ascii="宋体" w:hAnsi="宋体" w:cs="宋体"/>
          <w:b/>
          <w:color w:val="auto"/>
          <w:szCs w:val="21"/>
          <w:highlight w:val="none"/>
        </w:rPr>
      </w:pPr>
    </w:p>
    <w:p>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pPr>
        <w:snapToGrid w:val="0"/>
        <w:spacing w:before="120" w:beforeLines="50" w:after="50" w:line="440" w:lineRule="exact"/>
        <w:jc w:val="center"/>
        <w:rPr>
          <w:rFonts w:ascii="宋体" w:hAnsi="宋体" w:cs="宋体"/>
          <w:color w:val="auto"/>
          <w:sz w:val="28"/>
          <w:szCs w:val="28"/>
          <w:highlight w:val="none"/>
        </w:rPr>
      </w:pP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1、资格证明文件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磋商声明书</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1.2投标供应商</w:t>
      </w:r>
      <w:r>
        <w:rPr>
          <w:rFonts w:hint="eastAsia" w:ascii="宋体" w:hAnsi="宋体" w:cs="宋体"/>
          <w:color w:val="auto"/>
          <w:highlight w:val="none"/>
        </w:rPr>
        <w:t>合法的主体资格证明（如营业执照、事业单位法人证书、执业许可证、个体工商户营业执照、自然人身份证等）复印件</w:t>
      </w:r>
      <w:r>
        <w:rPr>
          <w:rFonts w:hint="eastAsia" w:ascii="宋体" w:hAnsi="宋体" w:cs="宋体"/>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1.3</w:t>
      </w:r>
      <w:r>
        <w:rPr>
          <w:rFonts w:hint="eastAsia" w:ascii="宋体" w:hAnsi="宋体" w:cs="宋体"/>
          <w:color w:val="auto"/>
          <w:szCs w:val="21"/>
          <w:highlight w:val="none"/>
        </w:rPr>
        <w:t>投标供应商依法缴纳税收的相关材料</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投标供应商依法缴纳社会保障资金的相关材料</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1.5供应商财务状况报告复印件……………………………………</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bCs/>
          <w:color w:val="auto"/>
          <w:szCs w:val="21"/>
          <w:highlight w:val="none"/>
        </w:rPr>
        <w:t>1.6参加政府采购活动前三年内在经营活动中没有重大违法记录和不良信用记录的书面声明书………</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1.7总公司“营业执照”副本复印件和总公司对供应商的授权书原件（分支机构参与投标时提供）………</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1.8供应商直接控股、管理关系信息表……………………………………</w:t>
      </w:r>
    </w:p>
    <w:p>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1.9联合体协议书（联合体投标时提供）……………………………………</w:t>
      </w:r>
    </w:p>
    <w:p>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1.10特定资格条件（如有要求）</w:t>
      </w:r>
      <w:r>
        <w:rPr>
          <w:rFonts w:hint="eastAsia" w:ascii="宋体" w:hAnsi="宋体" w:cs="宋体"/>
          <w:bCs/>
          <w:color w:val="auto"/>
          <w:szCs w:val="21"/>
          <w:highlight w:val="none"/>
        </w:rPr>
        <w:t>………………</w:t>
      </w:r>
    </w:p>
    <w:p>
      <w:pPr>
        <w:tabs>
          <w:tab w:val="left" w:pos="1418"/>
        </w:tabs>
        <w:snapToGrid w:val="0"/>
        <w:spacing w:before="50" w:after="50" w:line="440" w:lineRule="exac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1.11</w:t>
      </w:r>
      <w:r>
        <w:rPr>
          <w:rFonts w:hint="eastAsia" w:ascii="宋体" w:hAnsi="宋体" w:cs="宋体"/>
          <w:bCs/>
          <w:color w:val="auto"/>
          <w:szCs w:val="21"/>
          <w:highlight w:val="none"/>
        </w:rPr>
        <w:t>中小企业声明函或监狱企业由省级以上监狱管理局、戒毒管理局（含新疆生产建设兵团）出具的属于监狱企业的证明文件或残疾人福利性单位声明函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如有要求</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w:t>
      </w:r>
    </w:p>
    <w:p>
      <w:pPr>
        <w:widowControl/>
        <w:spacing w:line="440" w:lineRule="exact"/>
        <w:rPr>
          <w:rFonts w:ascii="宋体" w:hAnsi="宋体" w:cs="宋体"/>
          <w:b/>
          <w:bCs/>
          <w:color w:val="auto"/>
          <w:sz w:val="24"/>
          <w:highlight w:val="none"/>
        </w:rPr>
      </w:pPr>
    </w:p>
    <w:p>
      <w:pPr>
        <w:tabs>
          <w:tab w:val="left" w:pos="2625"/>
        </w:tabs>
        <w:spacing w:line="440" w:lineRule="exact"/>
        <w:jc w:val="left"/>
        <w:rPr>
          <w:rFonts w:ascii="宋体" w:hAnsi="宋体" w:cs="宋体"/>
          <w:b/>
          <w:color w:val="auto"/>
          <w:szCs w:val="21"/>
          <w:highlight w:val="none"/>
        </w:rPr>
      </w:pPr>
      <w:r>
        <w:rPr>
          <w:rFonts w:hint="eastAsia" w:ascii="宋体" w:hAnsi="宋体" w:cs="宋体"/>
          <w:b/>
          <w:color w:val="auto"/>
          <w:szCs w:val="21"/>
          <w:highlight w:val="none"/>
        </w:rPr>
        <w:br w:type="page"/>
      </w:r>
      <w:r>
        <w:rPr>
          <w:rFonts w:hint="eastAsia" w:ascii="宋体" w:hAnsi="宋体" w:cs="宋体"/>
          <w:b/>
          <w:color w:val="auto"/>
          <w:szCs w:val="21"/>
          <w:highlight w:val="none"/>
        </w:rPr>
        <w:t>一、磋商声明书格式</w:t>
      </w:r>
    </w:p>
    <w:p>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磋商声明书</w:t>
      </w:r>
    </w:p>
    <w:p>
      <w:pPr>
        <w:spacing w:line="440" w:lineRule="exact"/>
        <w:jc w:val="center"/>
        <w:rPr>
          <w:rFonts w:ascii="宋体" w:hAnsi="宋体" w:cs="宋体"/>
          <w:b/>
          <w:color w:val="auto"/>
          <w:sz w:val="32"/>
          <w:szCs w:val="32"/>
          <w:highlight w:val="none"/>
        </w:rPr>
      </w:pPr>
    </w:p>
    <w:p>
      <w:pPr>
        <w:pStyle w:val="23"/>
        <w:spacing w:line="440" w:lineRule="exact"/>
        <w:rPr>
          <w:rFonts w:hAnsi="宋体" w:cs="宋体"/>
          <w:color w:val="auto"/>
          <w:sz w:val="21"/>
          <w:highlight w:val="none"/>
        </w:rPr>
      </w:pPr>
      <w:r>
        <w:rPr>
          <w:rFonts w:hint="eastAsia" w:hAnsi="宋体" w:cs="宋体"/>
          <w:color w:val="auto"/>
          <w:sz w:val="21"/>
          <w:highlight w:val="none"/>
        </w:rPr>
        <w:t>致：（采购人单位名称）：</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我方愿意参加贵方组织的</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项目的竞标，为便于贵方公正、择优地确定成交供应商及其竞标产品和服务，我方就本次竞标有关事项郑重声明如下：</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1.我方向贵方提交的所有响应文件、资料都是准确的和真实的。</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3.在此，我方宣布同意如下：</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（1）将按磋商文件的约定履行合同责任和义务；</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（2）已详细审查全部磋商文件，包括澄清或者更正公告（如有）；</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（3）同意提供按照贵方可能要求的与谈判有关的一切数据或者资料；</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（4）响应磋商文件规定的响应文件有效期。</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4.我方承诺符合《中华人民共和国政府采购法》第二十二条规定：</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（2）具有良好的商业信誉和健全的财务会计制度；</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（3）具有履行合同所必需的设备和专业技术能力；</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（4）有依法缴纳税收和社会保障资金的良好记录；</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（5）参加政府采购活动前三年内，在经营活动中没有重大违法记录；</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□我方本次响应文件内容中未涉及商业秘密；</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□我方本次响应文件涉及商业秘密的内容有：</w:t>
      </w:r>
    </w:p>
    <w:p>
      <w:pPr>
        <w:snapToGrid w:val="0"/>
        <w:spacing w:before="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7.以上事项如有虚假或者隐瞒，我方愿意承担一切后果，并不再寻求任何旨在减轻或者免除法律责任的辩解。</w:t>
      </w:r>
    </w:p>
    <w:p>
      <w:pPr>
        <w:pStyle w:val="23"/>
        <w:spacing w:line="440" w:lineRule="exact"/>
        <w:jc w:val="center"/>
        <w:rPr>
          <w:rFonts w:hAnsi="宋体" w:cs="宋体"/>
          <w:color w:val="auto"/>
          <w:sz w:val="21"/>
          <w:highlight w:val="none"/>
        </w:rPr>
      </w:pPr>
      <w:r>
        <w:rPr>
          <w:rFonts w:hint="eastAsia" w:hAnsi="宋体" w:cs="宋体"/>
          <w:color w:val="auto"/>
          <w:sz w:val="21"/>
          <w:highlight w:val="none"/>
        </w:rPr>
        <w:t>供应商名称（电子签章）：</w:t>
      </w:r>
    </w:p>
    <w:p>
      <w:pPr>
        <w:snapToGrid w:val="0"/>
        <w:spacing w:before="50" w:after="50" w:line="440" w:lineRule="exact"/>
        <w:ind w:left="-6" w:leftChars="-3" w:right="-817" w:rightChars="-389" w:firstLine="6720" w:firstLineChars="32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说明：</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1.供应商可以自行通过“信用中国”（www.creditchina.gov.cn）和“中国政府采购网”网站（www.ccgp.gov.cn）查询供应商相关主体的信用记录。查询时间为本项目投标截止时间前10日至投标截止时间中任意一天。在资格审查阶段经采购人或采购代理机构查询，对列入失信被执行人、重大税收违法案件当事人名单、政府采购严重违法失信行为记录名单的供应商，将被拒绝参与本项目政府采购活动。</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40" w:lineRule="exact"/>
        <w:ind w:firstLine="363" w:firstLineChars="202"/>
        <w:rPr>
          <w:rFonts w:ascii="宋体" w:hAnsi="宋体" w:cs="宋体"/>
          <w:color w:val="auto"/>
          <w:sz w:val="18"/>
          <w:szCs w:val="18"/>
          <w:highlight w:val="none"/>
        </w:rPr>
      </w:pPr>
      <w:r>
        <w:rPr>
          <w:rFonts w:hint="eastAsia" w:ascii="宋体" w:hAnsi="宋体" w:cs="宋体"/>
          <w:color w:val="auto"/>
          <w:sz w:val="18"/>
          <w:szCs w:val="18"/>
          <w:highlight w:val="none"/>
        </w:rPr>
        <w:t>3.如为联合体投标，盖章处须加盖联合体各方公章，否则投标无效。</w:t>
      </w:r>
    </w:p>
    <w:p>
      <w:pPr>
        <w:rPr>
          <w:rFonts w:ascii="宋体" w:hAnsi="宋体" w:cs="宋体"/>
          <w:b/>
          <w:bCs/>
          <w:color w:val="auto"/>
          <w:sz w:val="24"/>
          <w:highlight w:val="none"/>
        </w:rPr>
      </w:pPr>
      <w:r>
        <w:rPr>
          <w:rFonts w:hint="eastAsia" w:ascii="宋体" w:hAnsi="宋体" w:cs="宋体"/>
          <w:b/>
          <w:bCs/>
          <w:color w:val="auto"/>
          <w:sz w:val="24"/>
          <w:highlight w:val="none"/>
        </w:rPr>
        <w:br w:type="page"/>
      </w:r>
    </w:p>
    <w:p>
      <w:pPr>
        <w:spacing w:line="440" w:lineRule="exact"/>
        <w:rPr>
          <w:rFonts w:ascii="宋体" w:hAnsi="宋体" w:cs="宋体"/>
          <w:b/>
          <w:bCs/>
          <w:color w:val="auto"/>
          <w:sz w:val="24"/>
          <w:highlight w:val="none"/>
        </w:rPr>
      </w:pPr>
      <w:r>
        <w:rPr>
          <w:rFonts w:hint="eastAsia" w:ascii="宋体" w:hAnsi="宋体" w:cs="宋体"/>
          <w:b/>
          <w:bCs/>
          <w:color w:val="auto"/>
          <w:sz w:val="24"/>
          <w:highlight w:val="none"/>
        </w:rPr>
        <w:t>二、政府采购供应商资格信用承诺函格式</w:t>
      </w:r>
    </w:p>
    <w:p>
      <w:pPr>
        <w:autoSpaceDE w:val="0"/>
        <w:autoSpaceDN w:val="0"/>
        <w:adjustRightInd w:val="0"/>
        <w:spacing w:line="440" w:lineRule="exact"/>
        <w:jc w:val="left"/>
        <w:rPr>
          <w:rFonts w:ascii="宋体" w:hAnsi="宋体" w:cs="宋体"/>
          <w:b/>
          <w:bCs/>
          <w:color w:val="auto"/>
          <w:szCs w:val="21"/>
          <w:highlight w:val="none"/>
        </w:rPr>
      </w:pPr>
    </w:p>
    <w:p>
      <w:pPr>
        <w:autoSpaceDE w:val="0"/>
        <w:autoSpaceDN w:val="0"/>
        <w:adjustRightInd w:val="0"/>
        <w:spacing w:line="440" w:lineRule="exact"/>
        <w:jc w:val="center"/>
        <w:rPr>
          <w:rFonts w:ascii="宋体" w:hAnsi="宋体" w:cs="宋体"/>
          <w:b/>
          <w:bCs/>
          <w:color w:val="auto"/>
          <w:szCs w:val="21"/>
          <w:highlight w:val="none"/>
        </w:rPr>
      </w:pPr>
      <w:r>
        <w:rPr>
          <w:rFonts w:hint="eastAsia" w:ascii="宋体" w:hAnsi="宋体" w:cs="宋体"/>
          <w:b/>
          <w:bCs/>
          <w:color w:val="auto"/>
          <w:szCs w:val="21"/>
          <w:highlight w:val="none"/>
        </w:rPr>
        <w:t>政府采购供应商资格信用承诺函</w:t>
      </w:r>
    </w:p>
    <w:p>
      <w:pPr>
        <w:pStyle w:val="32"/>
        <w:spacing w:line="440" w:lineRule="exact"/>
        <w:rPr>
          <w:rFonts w:ascii="宋体" w:hAnsi="宋体" w:cs="宋体"/>
          <w:color w:val="auto"/>
          <w:sz w:val="21"/>
          <w:szCs w:val="21"/>
          <w:highlight w:val="none"/>
        </w:rPr>
      </w:pPr>
    </w:p>
    <w:p>
      <w:pPr>
        <w:autoSpaceDE w:val="0"/>
        <w:autoSpaceDN w:val="0"/>
        <w:adjustRightInd w:val="0"/>
        <w:spacing w:line="440" w:lineRule="exact"/>
        <w:rPr>
          <w:rFonts w:ascii="宋体" w:hAnsi="宋体" w:cs="宋体"/>
          <w:color w:val="auto"/>
          <w:spacing w:val="6"/>
          <w:szCs w:val="21"/>
          <w:highlight w:val="none"/>
        </w:rPr>
      </w:pPr>
      <w:r>
        <w:rPr>
          <w:rFonts w:hint="eastAsia" w:ascii="宋体" w:hAnsi="宋体" w:cs="宋体"/>
          <w:color w:val="auto"/>
          <w:spacing w:val="6"/>
          <w:szCs w:val="21"/>
          <w:highlight w:val="none"/>
        </w:rPr>
        <w:t>致：</w:t>
      </w:r>
      <w:r>
        <w:rPr>
          <w:rFonts w:hint="eastAsia" w:ascii="宋体" w:hAnsi="宋体" w:cs="宋体"/>
          <w:color w:val="auto"/>
          <w:spacing w:val="6"/>
          <w:szCs w:val="21"/>
          <w:highlight w:val="none"/>
          <w:u w:val="single"/>
        </w:rPr>
        <w:t>（采购人名称）、（代理机构名称）</w:t>
      </w:r>
      <w:r>
        <w:rPr>
          <w:rFonts w:hint="eastAsia" w:ascii="宋体" w:hAnsi="宋体" w:cs="宋体"/>
          <w:color w:val="auto"/>
          <w:spacing w:val="6"/>
          <w:szCs w:val="21"/>
          <w:highlight w:val="none"/>
        </w:rPr>
        <w:t>：</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我方自愿参加项目（项目编号：）的政府采购活动，并郑重承诺我方符合《中华人民共和国政府采购法》第二十二条规定的条件：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（一）具有独立承担民事责任的能力；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（二）具有良好的商业信誉和健全的财务会计制度；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（三）具有履行合同所必需的设备和专业技术能力；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（四）有依法缴纳税收和社会保障资金的良好记录；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（五）参加政府采购活动前三年内，在经营活动中没有重大违法记录；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（六）法律、行政法规规定的其他条件。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color w:val="auto"/>
          <w:spacing w:val="6"/>
          <w:szCs w:val="21"/>
          <w:highlight w:val="none"/>
        </w:rPr>
        <w:t xml:space="preserve">我方保证上述承诺事项的真实性，如有弄虚作假或其他违法违规行为，愿意承担一切法律责任，并承担因此所造成的一切损失。 </w:t>
      </w:r>
    </w:p>
    <w:p>
      <w:pPr>
        <w:autoSpaceDE w:val="0"/>
        <w:autoSpaceDN w:val="0"/>
        <w:adjustRightInd w:val="0"/>
        <w:spacing w:line="440" w:lineRule="exact"/>
        <w:ind w:firstLine="640"/>
        <w:rPr>
          <w:rFonts w:ascii="宋体" w:hAnsi="宋体" w:cs="宋体"/>
          <w:color w:val="auto"/>
          <w:spacing w:val="6"/>
          <w:szCs w:val="21"/>
          <w:highlight w:val="none"/>
        </w:rPr>
      </w:pPr>
      <w:r>
        <w:rPr>
          <w:rFonts w:hint="eastAsia" w:ascii="宋体" w:hAnsi="宋体" w:cs="宋体"/>
          <w:b/>
          <w:bCs/>
          <w:color w:val="auto"/>
          <w:spacing w:val="6"/>
          <w:szCs w:val="21"/>
          <w:highlight w:val="none"/>
        </w:rPr>
        <w:t>特此声明！</w:t>
      </w:r>
    </w:p>
    <w:p>
      <w:pPr>
        <w:pStyle w:val="40"/>
        <w:spacing w:line="440" w:lineRule="exact"/>
        <w:ind w:firstLine="444"/>
        <w:rPr>
          <w:rFonts w:ascii="宋体" w:hAnsi="宋体" w:cs="宋体"/>
          <w:color w:val="auto"/>
          <w:spacing w:val="6"/>
          <w:szCs w:val="21"/>
          <w:highlight w:val="none"/>
        </w:rPr>
      </w:pPr>
    </w:p>
    <w:p>
      <w:pPr>
        <w:spacing w:line="440" w:lineRule="exact"/>
        <w:rPr>
          <w:rFonts w:ascii="宋体" w:hAnsi="宋体" w:cs="宋体"/>
          <w:color w:val="auto"/>
          <w:szCs w:val="21"/>
          <w:highlight w:val="none"/>
        </w:rPr>
      </w:pPr>
    </w:p>
    <w:p>
      <w:pPr>
        <w:spacing w:line="440" w:lineRule="exact"/>
        <w:jc w:val="center"/>
        <w:rPr>
          <w:rFonts w:ascii="宋体" w:hAnsi="宋体" w:cs="宋体"/>
          <w:color w:val="auto"/>
          <w:szCs w:val="21"/>
          <w:highlight w:val="none"/>
          <w:u w:val="single"/>
        </w:rPr>
      </w:pPr>
      <w:r>
        <w:rPr>
          <w:rFonts w:hint="eastAsia" w:ascii="宋体" w:hAnsi="宋体" w:cs="宋体"/>
          <w:color w:val="auto"/>
          <w:szCs w:val="21"/>
          <w:highlight w:val="none"/>
        </w:rPr>
        <w:t xml:space="preserve">           法定代表人或委托代理人</w:t>
      </w:r>
      <w:r>
        <w:rPr>
          <w:rFonts w:hint="eastAsia" w:ascii="宋体" w:hAnsi="宋体" w:cs="宋体"/>
          <w:b/>
          <w:bCs/>
          <w:color w:val="auto"/>
          <w:szCs w:val="21"/>
          <w:highlight w:val="none"/>
        </w:rPr>
        <w:t>（签字）：</w:t>
      </w:r>
    </w:p>
    <w:p>
      <w:pPr>
        <w:spacing w:line="440" w:lineRule="exact"/>
        <w:jc w:val="center"/>
        <w:rPr>
          <w:rFonts w:ascii="宋体" w:hAnsi="宋体" w:cs="宋体"/>
          <w:color w:val="auto"/>
          <w:szCs w:val="21"/>
          <w:highlight w:val="none"/>
          <w:u w:val="single"/>
        </w:rPr>
      </w:pPr>
    </w:p>
    <w:p>
      <w:pPr>
        <w:pStyle w:val="23"/>
        <w:spacing w:line="440" w:lineRule="exact"/>
        <w:ind w:firstLine="3570" w:firstLineChars="1700"/>
        <w:rPr>
          <w:rFonts w:hAnsi="宋体" w:cs="宋体"/>
          <w:color w:val="auto"/>
          <w:sz w:val="21"/>
          <w:highlight w:val="none"/>
        </w:rPr>
      </w:pPr>
      <w:r>
        <w:rPr>
          <w:rFonts w:hint="eastAsia" w:hAnsi="宋体" w:cs="宋体"/>
          <w:color w:val="auto"/>
          <w:sz w:val="21"/>
          <w:highlight w:val="none"/>
        </w:rPr>
        <w:t>政府采购供应商</w:t>
      </w:r>
      <w:r>
        <w:rPr>
          <w:rFonts w:hint="eastAsia" w:hAnsi="宋体" w:cs="宋体"/>
          <w:b/>
          <w:bCs/>
          <w:color w:val="auto"/>
          <w:sz w:val="21"/>
          <w:highlight w:val="none"/>
        </w:rPr>
        <w:t>（CA电子签章）</w:t>
      </w:r>
      <w:r>
        <w:rPr>
          <w:rFonts w:hint="eastAsia" w:hAnsi="宋体" w:cs="宋体"/>
          <w:color w:val="auto"/>
          <w:sz w:val="21"/>
          <w:highlight w:val="none"/>
        </w:rPr>
        <w:t>：</w:t>
      </w:r>
    </w:p>
    <w:p>
      <w:pPr>
        <w:pStyle w:val="23"/>
        <w:spacing w:line="440" w:lineRule="exact"/>
        <w:rPr>
          <w:rFonts w:hAnsi="宋体" w:cs="宋体"/>
          <w:color w:val="auto"/>
          <w:sz w:val="21"/>
          <w:highlight w:val="none"/>
        </w:rPr>
      </w:pPr>
    </w:p>
    <w:p>
      <w:pPr>
        <w:pStyle w:val="23"/>
        <w:spacing w:line="440" w:lineRule="exact"/>
        <w:jc w:val="right"/>
        <w:rPr>
          <w:rFonts w:hAnsi="宋体" w:cs="宋体"/>
          <w:color w:val="auto"/>
          <w:sz w:val="21"/>
          <w:highlight w:val="none"/>
        </w:rPr>
      </w:pPr>
      <w:r>
        <w:rPr>
          <w:rFonts w:hint="eastAsia" w:hAnsi="宋体" w:cs="宋体"/>
          <w:color w:val="auto"/>
          <w:sz w:val="21"/>
          <w:highlight w:val="none"/>
        </w:rPr>
        <w:t>日期：       年   月   日</w:t>
      </w: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pStyle w:val="23"/>
        <w:spacing w:line="440" w:lineRule="exact"/>
        <w:rPr>
          <w:rFonts w:hAnsi="宋体" w:cs="宋体"/>
          <w:b/>
          <w:color w:val="auto"/>
          <w:sz w:val="21"/>
          <w:highlight w:val="none"/>
        </w:rPr>
      </w:pPr>
    </w:p>
    <w:p>
      <w:pPr>
        <w:snapToGrid w:val="0"/>
        <w:spacing w:before="120" w:beforeLines="50" w:after="50" w:line="440" w:lineRule="exact"/>
        <w:rPr>
          <w:rFonts w:ascii="宋体" w:hAnsi="宋体" w:cs="宋体"/>
          <w:b/>
          <w:color w:val="auto"/>
          <w:highlight w:val="none"/>
        </w:rPr>
      </w:pPr>
    </w:p>
    <w:p>
      <w:pPr>
        <w:snapToGrid w:val="0"/>
        <w:spacing w:before="120" w:beforeLines="50" w:after="50" w:line="440" w:lineRule="exact"/>
        <w:rPr>
          <w:rFonts w:ascii="宋体" w:hAnsi="宋体" w:cs="宋体"/>
          <w:b/>
          <w:bCs/>
          <w:color w:val="auto"/>
          <w:sz w:val="24"/>
          <w:highlight w:val="none"/>
        </w:rPr>
      </w:pPr>
      <w:r>
        <w:rPr>
          <w:rFonts w:hint="eastAsia" w:ascii="宋体" w:hAnsi="宋体" w:cs="宋体"/>
          <w:b/>
          <w:color w:val="auto"/>
          <w:highlight w:val="none"/>
        </w:rPr>
        <w:t>三、供应商直接控股、管理关系信息表格式</w:t>
      </w:r>
    </w:p>
    <w:p>
      <w:pPr>
        <w:snapToGrid w:val="0"/>
        <w:spacing w:before="50" w:after="120" w:afterLines="50" w:line="440" w:lineRule="exact"/>
        <w:jc w:val="center"/>
        <w:rPr>
          <w:rFonts w:ascii="宋体" w:hAnsi="宋体" w:cs="宋体"/>
          <w:b/>
          <w:color w:val="auto"/>
          <w:sz w:val="24"/>
          <w:highlight w:val="none"/>
        </w:rPr>
      </w:pPr>
      <w:r>
        <w:rPr>
          <w:rFonts w:hint="eastAsia" w:ascii="宋体" w:hAnsi="宋体" w:cs="宋体"/>
          <w:b/>
          <w:color w:val="auto"/>
          <w:sz w:val="24"/>
          <w:highlight w:val="none"/>
        </w:rPr>
        <w:t>供应商直接控股股东信息表</w:t>
      </w:r>
    </w:p>
    <w:tbl>
      <w:tblPr>
        <w:tblStyle w:val="41"/>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28"/>
        <w:gridCol w:w="2269"/>
        <w:gridCol w:w="1239"/>
        <w:gridCol w:w="372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28"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26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直接控股股东名称</w:t>
            </w:r>
          </w:p>
        </w:tc>
        <w:tc>
          <w:tcPr>
            <w:tcW w:w="123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出资比例</w:t>
            </w:r>
          </w:p>
        </w:tc>
        <w:tc>
          <w:tcPr>
            <w:tcW w:w="3722"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身份证号码或统一社会信用代码</w:t>
            </w:r>
          </w:p>
        </w:tc>
        <w:tc>
          <w:tcPr>
            <w:tcW w:w="1418"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26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26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2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26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239"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3722"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c>
          <w:tcPr>
            <w:tcW w:w="1418" w:type="dxa"/>
            <w:tcMar>
              <w:top w:w="120" w:type="dxa"/>
              <w:left w:w="120" w:type="dxa"/>
              <w:bottom w:w="120" w:type="dxa"/>
              <w:right w:w="120" w:type="dxa"/>
            </w:tcMar>
            <w:vAlign w:val="center"/>
          </w:tcPr>
          <w:p>
            <w:pPr>
              <w:widowControl/>
              <w:wordWrap w:val="0"/>
              <w:spacing w:line="440" w:lineRule="exact"/>
              <w:jc w:val="center"/>
              <w:rPr>
                <w:rFonts w:ascii="宋体" w:hAnsi="宋体" w:cs="宋体"/>
                <w:color w:val="auto"/>
                <w:szCs w:val="21"/>
                <w:highlight w:val="none"/>
              </w:rPr>
            </w:pPr>
          </w:p>
        </w:tc>
      </w:tr>
    </w:tbl>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pPr>
        <w:snapToGrid w:val="0"/>
        <w:spacing w:before="50" w:after="120" w:afterLines="50" w:line="440" w:lineRule="exact"/>
        <w:jc w:val="center"/>
        <w:rPr>
          <w:rFonts w:ascii="宋体" w:hAnsi="宋体" w:cs="宋体"/>
          <w:color w:val="auto"/>
          <w:szCs w:val="21"/>
          <w:highlight w:val="none"/>
        </w:rPr>
      </w:pPr>
    </w:p>
    <w:p>
      <w:pPr>
        <w:snapToGrid w:val="0"/>
        <w:spacing w:before="50" w:after="120" w:afterLines="50" w:line="440" w:lineRule="exact"/>
        <w:jc w:val="center"/>
        <w:rPr>
          <w:rFonts w:ascii="宋体" w:hAnsi="宋体" w:cs="宋体"/>
          <w:color w:val="auto"/>
          <w:szCs w:val="21"/>
          <w:highlight w:val="none"/>
        </w:rPr>
      </w:pPr>
      <w:r>
        <w:rPr>
          <w:rFonts w:hint="eastAsia" w:ascii="宋体" w:hAnsi="宋体" w:cs="宋体"/>
          <w:b/>
          <w:color w:val="auto"/>
          <w:sz w:val="24"/>
          <w:highlight w:val="none"/>
        </w:rPr>
        <w:t>供应商直接管理关系信息表</w:t>
      </w:r>
    </w:p>
    <w:tbl>
      <w:tblPr>
        <w:tblStyle w:val="41"/>
        <w:tblW w:w="9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5"/>
        <w:gridCol w:w="2659"/>
        <w:gridCol w:w="3924"/>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直接管理关系单位名称</w:t>
            </w: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统一社会信用代码</w:t>
            </w: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05"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r>
              <w:rPr>
                <w:rFonts w:hint="eastAsia" w:ascii="宋体" w:hAnsi="宋体" w:cs="宋体"/>
                <w:color w:val="auto"/>
                <w:szCs w:val="21"/>
                <w:highlight w:val="none"/>
              </w:rPr>
              <w:t>……</w:t>
            </w:r>
          </w:p>
        </w:tc>
        <w:tc>
          <w:tcPr>
            <w:tcW w:w="2659"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392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c>
          <w:tcPr>
            <w:tcW w:w="2064" w:type="dxa"/>
            <w:tcMar>
              <w:top w:w="120" w:type="dxa"/>
              <w:left w:w="120" w:type="dxa"/>
              <w:bottom w:w="120" w:type="dxa"/>
              <w:right w:w="120" w:type="dxa"/>
            </w:tcMar>
            <w:vAlign w:val="center"/>
          </w:tcPr>
          <w:p>
            <w:pPr>
              <w:widowControl/>
              <w:spacing w:line="440" w:lineRule="exact"/>
              <w:jc w:val="center"/>
              <w:rPr>
                <w:rFonts w:ascii="宋体" w:hAnsi="宋体" w:cs="宋体"/>
                <w:color w:val="auto"/>
                <w:szCs w:val="21"/>
                <w:highlight w:val="none"/>
              </w:rPr>
            </w:pPr>
          </w:p>
        </w:tc>
      </w:tr>
    </w:tbl>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注：</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1.管理关系：是指不具有出资持股关系的其他单位之间存在的管理与被管理关系，如一些上下级关系的事业单位和团体组织。</w:t>
      </w:r>
    </w:p>
    <w:p>
      <w:pPr>
        <w:snapToGrid w:val="0"/>
        <w:spacing w:line="440" w:lineRule="exact"/>
        <w:ind w:firstLine="424" w:firstLineChars="202"/>
        <w:rPr>
          <w:rFonts w:ascii="宋体" w:hAnsi="宋体" w:cs="宋体"/>
          <w:color w:val="auto"/>
          <w:szCs w:val="21"/>
          <w:highlight w:val="none"/>
        </w:rPr>
      </w:pPr>
      <w:r>
        <w:rPr>
          <w:rFonts w:hint="eastAsia" w:ascii="宋体" w:hAnsi="宋体" w:cs="宋体"/>
          <w:color w:val="auto"/>
          <w:szCs w:val="21"/>
          <w:highlight w:val="none"/>
        </w:rPr>
        <w:t>2.本表所指的管理关系仅限于直接管理关系，不包括间接的管理关系。</w:t>
      </w:r>
    </w:p>
    <w:p>
      <w:pPr>
        <w:pStyle w:val="23"/>
        <w:tabs>
          <w:tab w:val="left" w:pos="5529"/>
        </w:tabs>
        <w:wordWrap w:val="0"/>
        <w:spacing w:line="440" w:lineRule="exact"/>
        <w:ind w:firstLine="3240" w:firstLineChars="1620"/>
        <w:rPr>
          <w:rFonts w:hAnsi="宋体" w:cs="宋体"/>
          <w:color w:val="auto"/>
          <w:highlight w:val="none"/>
        </w:rPr>
      </w:pPr>
    </w:p>
    <w:p>
      <w:pPr>
        <w:pStyle w:val="23"/>
        <w:tabs>
          <w:tab w:val="left" w:pos="5529"/>
        </w:tabs>
        <w:wordWrap w:val="0"/>
        <w:spacing w:line="440" w:lineRule="exact"/>
        <w:ind w:firstLine="3240" w:firstLineChars="1620"/>
        <w:rPr>
          <w:rFonts w:hAnsi="宋体" w:cs="宋体"/>
          <w:color w:val="auto"/>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b/>
          <w:bCs/>
          <w:color w:val="auto"/>
          <w:szCs w:val="21"/>
          <w:highlight w:val="none"/>
        </w:rPr>
      </w:pPr>
      <w:r>
        <w:rPr>
          <w:rFonts w:hint="eastAsia" w:ascii="宋体" w:hAnsi="宋体" w:cs="宋体"/>
          <w:color w:val="auto"/>
          <w:szCs w:val="21"/>
          <w:highlight w:val="none"/>
        </w:rPr>
        <w:t>日期： 年 月 日</w:t>
      </w:r>
    </w:p>
    <w:p>
      <w:pPr>
        <w:snapToGrid w:val="0"/>
        <w:spacing w:before="120" w:beforeLines="50" w:after="50" w:line="440" w:lineRule="exact"/>
        <w:rPr>
          <w:rFonts w:ascii="宋体" w:hAnsi="宋体" w:cs="宋体"/>
          <w:b/>
          <w:bCs/>
          <w:color w:val="auto"/>
          <w:szCs w:val="21"/>
          <w:highlight w:val="none"/>
        </w:rPr>
        <w:sectPr>
          <w:pgSz w:w="11906" w:h="16838"/>
          <w:pgMar w:top="1134" w:right="1247" w:bottom="1134" w:left="1247" w:header="851" w:footer="992" w:gutter="0"/>
          <w:cols w:space="720" w:num="1"/>
          <w:docGrid w:linePitch="312" w:charSpace="0"/>
        </w:sectPr>
      </w:pP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2、商务和技术文件格式：</w:t>
      </w: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（商务和技术文件）</w:t>
      </w: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snapToGrid w:val="0"/>
        <w:spacing w:before="120" w:beforeLines="50" w:after="50"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pStyle w:val="11"/>
        <w:snapToGrid w:val="0"/>
        <w:spacing w:before="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pPr>
        <w:snapToGrid w:val="0"/>
        <w:spacing w:before="50" w:after="50" w:line="440" w:lineRule="exact"/>
        <w:rPr>
          <w:rFonts w:ascii="宋体" w:hAnsi="宋体" w:cs="宋体"/>
          <w:b/>
          <w:color w:val="auto"/>
          <w:szCs w:val="21"/>
          <w:highlight w:val="none"/>
        </w:rPr>
      </w:pPr>
    </w:p>
    <w:p>
      <w:pPr>
        <w:snapToGrid w:val="0"/>
        <w:spacing w:before="120" w:beforeLines="50" w:after="50" w:line="440" w:lineRule="exact"/>
        <w:jc w:val="center"/>
        <w:rPr>
          <w:rFonts w:ascii="宋体" w:hAnsi="宋体" w:cs="宋体"/>
          <w:b/>
          <w:color w:val="auto"/>
          <w:szCs w:val="21"/>
          <w:highlight w:val="none"/>
        </w:rPr>
      </w:pPr>
      <w:r>
        <w:rPr>
          <w:rFonts w:hint="eastAsia" w:ascii="宋体" w:hAnsi="宋体" w:cs="宋体"/>
          <w:b/>
          <w:color w:val="auto"/>
          <w:szCs w:val="21"/>
          <w:highlight w:val="none"/>
        </w:rPr>
        <w:br w:type="page"/>
      </w:r>
    </w:p>
    <w:p>
      <w:pPr>
        <w:snapToGrid w:val="0"/>
        <w:spacing w:before="120" w:beforeLines="50" w:after="50" w:line="440" w:lineRule="exact"/>
        <w:jc w:val="center"/>
        <w:rPr>
          <w:rFonts w:ascii="宋体" w:hAnsi="宋体" w:cs="宋体"/>
          <w:b/>
          <w:color w:val="auto"/>
          <w:szCs w:val="21"/>
          <w:highlight w:val="none"/>
        </w:rPr>
      </w:pPr>
    </w:p>
    <w:p>
      <w:pPr>
        <w:snapToGrid w:val="0"/>
        <w:spacing w:before="120" w:beforeLines="50" w:after="50" w:line="440" w:lineRule="exact"/>
        <w:jc w:val="center"/>
        <w:rPr>
          <w:rFonts w:ascii="宋体" w:hAnsi="宋体" w:cs="宋体"/>
          <w:b/>
          <w:color w:val="auto"/>
          <w:sz w:val="44"/>
          <w:szCs w:val="44"/>
          <w:highlight w:val="none"/>
        </w:rPr>
      </w:pPr>
      <w:r>
        <w:rPr>
          <w:rFonts w:hint="eastAsia" w:ascii="宋体" w:hAnsi="宋体" w:cs="宋体"/>
          <w:b/>
          <w:color w:val="auto"/>
          <w:sz w:val="44"/>
          <w:szCs w:val="44"/>
          <w:highlight w:val="none"/>
        </w:rPr>
        <w:t>目录</w:t>
      </w:r>
    </w:p>
    <w:p>
      <w:pPr>
        <w:snapToGrid w:val="0"/>
        <w:spacing w:before="120" w:beforeLines="50" w:after="50" w:line="440" w:lineRule="exact"/>
        <w:jc w:val="center"/>
        <w:rPr>
          <w:rFonts w:ascii="宋体" w:hAnsi="宋体" w:cs="宋体"/>
          <w:color w:val="auto"/>
          <w:sz w:val="28"/>
          <w:szCs w:val="28"/>
          <w:highlight w:val="none"/>
        </w:rPr>
      </w:pP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1、商务和技术文件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法定代表人身份证明书</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1.2法定代表人授权委托书及被授权委托人身份证复印件………………………………</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1.3供应商情况介绍………………………………</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1.4</w:t>
      </w:r>
      <w:r>
        <w:rPr>
          <w:rFonts w:hint="eastAsia" w:ascii="宋体" w:hAnsi="宋体" w:cs="宋体"/>
          <w:color w:val="auto"/>
          <w:szCs w:val="21"/>
          <w:highlight w:val="none"/>
        </w:rPr>
        <w:t>商务响应表</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技术响应表</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拟投入人员汇总表（附拟投入人员相关证书复印件）</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1.7</w:t>
      </w:r>
      <w:r>
        <w:rPr>
          <w:rFonts w:hint="eastAsia" w:ascii="宋体" w:hAnsi="宋体" w:cs="宋体"/>
          <w:color w:val="auto"/>
          <w:szCs w:val="21"/>
          <w:highlight w:val="none"/>
        </w:rPr>
        <w:t>项目实施方案</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1.8</w:t>
      </w:r>
      <w:r>
        <w:rPr>
          <w:rFonts w:hint="eastAsia" w:ascii="宋体" w:hAnsi="宋体" w:cs="宋体"/>
          <w:color w:val="auto"/>
          <w:szCs w:val="21"/>
          <w:highlight w:val="none"/>
        </w:rPr>
        <w:t>服务承诺书</w:t>
      </w:r>
      <w:r>
        <w:rPr>
          <w:rFonts w:hint="eastAsia" w:ascii="宋体" w:hAnsi="宋体" w:cs="宋体"/>
          <w:bCs/>
          <w:color w:val="auto"/>
          <w:szCs w:val="21"/>
          <w:highlight w:val="none"/>
        </w:rPr>
        <w:t>………………………………………</w:t>
      </w:r>
    </w:p>
    <w:p>
      <w:pPr>
        <w:tabs>
          <w:tab w:val="left" w:pos="1418"/>
        </w:tabs>
        <w:snapToGrid w:val="0"/>
        <w:spacing w:before="50" w:after="50" w:line="440" w:lineRule="exact"/>
        <w:rPr>
          <w:rFonts w:hint="eastAsia" w:ascii="宋体" w:hAnsi="宋体" w:cs="宋体"/>
          <w:bCs/>
          <w:color w:val="auto"/>
          <w:szCs w:val="21"/>
          <w:highlight w:val="none"/>
        </w:rPr>
      </w:pPr>
      <w:r>
        <w:rPr>
          <w:rFonts w:hint="eastAsia" w:ascii="宋体" w:hAnsi="宋体" w:cs="宋体"/>
          <w:bCs/>
          <w:color w:val="auto"/>
          <w:szCs w:val="21"/>
          <w:highlight w:val="none"/>
        </w:rPr>
        <w:t>1.9</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rPr>
        <w:t>保证金缴纳证明材料复印件………………………………………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lang w:val="en-US" w:eastAsia="zh-CN"/>
        </w:rPr>
        <w:t>1.10</w:t>
      </w:r>
      <w:r>
        <w:rPr>
          <w:rFonts w:hint="eastAsia" w:ascii="宋体" w:hAnsi="宋体" w:cs="宋体"/>
          <w:bCs/>
          <w:color w:val="auto"/>
          <w:szCs w:val="21"/>
          <w:highlight w:val="none"/>
        </w:rPr>
        <w:t>代理服务费承诺书……………………………………</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1</w:t>
      </w:r>
      <w:r>
        <w:rPr>
          <w:rFonts w:hint="eastAsia" w:ascii="宋体" w:hAnsi="宋体" w:cs="宋体"/>
          <w:color w:val="auto"/>
          <w:szCs w:val="21"/>
          <w:highlight w:val="none"/>
        </w:rPr>
        <w:t>供应商对本项目的合理化建议和改进措施</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bCs/>
          <w:color w:val="auto"/>
          <w:szCs w:val="21"/>
          <w:highlight w:val="none"/>
          <w:lang w:val="en-US" w:eastAsia="zh-CN"/>
        </w:rPr>
        <w:t>2</w:t>
      </w:r>
      <w:r>
        <w:rPr>
          <w:rFonts w:hint="eastAsia" w:ascii="宋体" w:hAnsi="宋体" w:cs="宋体"/>
          <w:color w:val="auto"/>
          <w:highlight w:val="none"/>
        </w:rPr>
        <w:t>供应商认为需要提供的其他证明材料</w:t>
      </w:r>
      <w:r>
        <w:rPr>
          <w:rFonts w:hint="eastAsia" w:ascii="宋体" w:hAnsi="宋体" w:cs="宋体"/>
          <w:bCs/>
          <w:color w:val="auto"/>
          <w:szCs w:val="21"/>
          <w:highlight w:val="none"/>
        </w:rPr>
        <w:t>……………………………………</w:t>
      </w: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一、法定代表人身份证明书格式</w:t>
      </w:r>
    </w:p>
    <w:p>
      <w:pPr>
        <w:pStyle w:val="23"/>
        <w:spacing w:line="440" w:lineRule="exact"/>
        <w:ind w:left="-10" w:firstLine="10" w:firstLineChars="3"/>
        <w:jc w:val="center"/>
        <w:rPr>
          <w:rFonts w:hAnsi="宋体" w:cs="宋体"/>
          <w:b/>
          <w:color w:val="auto"/>
          <w:sz w:val="32"/>
          <w:highlight w:val="none"/>
        </w:rPr>
      </w:pPr>
    </w:p>
    <w:p>
      <w:pPr>
        <w:pStyle w:val="23"/>
        <w:spacing w:line="440" w:lineRule="exact"/>
        <w:ind w:left="-10" w:firstLine="10" w:firstLineChars="3"/>
        <w:jc w:val="center"/>
        <w:rPr>
          <w:rFonts w:hAnsi="宋体" w:cs="宋体"/>
          <w:b/>
          <w:color w:val="auto"/>
          <w:sz w:val="32"/>
          <w:highlight w:val="none"/>
        </w:rPr>
      </w:pPr>
      <w:r>
        <w:rPr>
          <w:rFonts w:hint="eastAsia" w:hAnsi="宋体" w:cs="宋体"/>
          <w:b/>
          <w:color w:val="auto"/>
          <w:sz w:val="32"/>
          <w:highlight w:val="none"/>
        </w:rPr>
        <w:t>法定代表人身份证明书</w:t>
      </w:r>
    </w:p>
    <w:p>
      <w:pPr>
        <w:pStyle w:val="23"/>
        <w:spacing w:line="440" w:lineRule="exact"/>
        <w:ind w:left="-10" w:firstLine="13" w:firstLineChars="3"/>
        <w:jc w:val="center"/>
        <w:rPr>
          <w:rFonts w:hAnsi="宋体" w:cs="宋体"/>
          <w:b/>
          <w:color w:val="auto"/>
          <w:sz w:val="44"/>
          <w:highlight w:val="none"/>
        </w:rPr>
      </w:pPr>
    </w:p>
    <w:p>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单位名称：</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单位性质：</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地    址：</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成立时间：年月日</w:t>
      </w:r>
    </w:p>
    <w:p>
      <w:pPr>
        <w:pStyle w:val="23"/>
        <w:spacing w:line="440" w:lineRule="exact"/>
        <w:ind w:firstLine="277"/>
        <w:rPr>
          <w:rFonts w:hAnsi="宋体" w:cs="宋体"/>
          <w:color w:val="auto"/>
          <w:sz w:val="21"/>
          <w:highlight w:val="none"/>
          <w:u w:val="single"/>
        </w:rPr>
      </w:pPr>
      <w:r>
        <w:rPr>
          <w:rFonts w:hint="eastAsia" w:hAnsi="宋体" w:cs="宋体"/>
          <w:color w:val="auto"/>
          <w:sz w:val="21"/>
          <w:highlight w:val="none"/>
        </w:rPr>
        <w:t>经营期限：</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姓名：性别：年龄：职务：</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系</w:t>
      </w:r>
      <w:r>
        <w:rPr>
          <w:rFonts w:hint="eastAsia" w:hAnsi="宋体" w:cs="宋体"/>
          <w:color w:val="auto"/>
          <w:sz w:val="21"/>
          <w:highlight w:val="none"/>
          <w:u w:val="single"/>
        </w:rPr>
        <w:t xml:space="preserve">     （供应商单位名称）  </w:t>
      </w:r>
      <w:r>
        <w:rPr>
          <w:rFonts w:hint="eastAsia" w:hAnsi="宋体" w:cs="宋体"/>
          <w:color w:val="auto"/>
          <w:sz w:val="21"/>
          <w:highlight w:val="none"/>
        </w:rPr>
        <w:t>的法定代表人。</w:t>
      </w:r>
    </w:p>
    <w:p>
      <w:pPr>
        <w:pStyle w:val="23"/>
        <w:spacing w:line="440" w:lineRule="exact"/>
        <w:ind w:firstLine="277"/>
        <w:rPr>
          <w:rFonts w:hAnsi="宋体" w:cs="宋体"/>
          <w:color w:val="auto"/>
          <w:sz w:val="21"/>
          <w:highlight w:val="none"/>
        </w:rPr>
      </w:pPr>
      <w:r>
        <w:rPr>
          <w:rFonts w:hint="eastAsia" w:hAnsi="宋体" w:cs="宋体"/>
          <w:color w:val="auto"/>
          <w:sz w:val="21"/>
          <w:highlight w:val="none"/>
        </w:rPr>
        <w:t>特此证明。</w:t>
      </w: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12700</wp:posOffset>
                </wp:positionV>
                <wp:extent cx="3239770" cy="2029460"/>
                <wp:effectExtent l="9525" t="12700" r="8255" b="5715"/>
                <wp:wrapNone/>
                <wp:docPr id="9" name="矩形 8"/>
                <wp:cNvGraphicFramePr/>
                <a:graphic xmlns:a="http://schemas.openxmlformats.org/drawingml/2006/main">
                  <a:graphicData uri="http://schemas.microsoft.com/office/word/2010/wordprocessingShape">
                    <wps:wsp>
                      <wps:cNvSpPr>
                        <a:spLocks noChangeArrowheads="1"/>
                      </wps:cNvSpPr>
                      <wps:spPr bwMode="auto">
                        <a:xfrm>
                          <a:off x="0" y="0"/>
                          <a:ext cx="3239770" cy="202946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法定代表人第二代居民身份证复印件</w:t>
                            </w:r>
                          </w:p>
                          <w:p>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9pt;margin-top:1pt;height:159.8pt;width:255.1pt;z-index:251662336;mso-width-relative:page;mso-height-relative:page;" fillcolor="#FFFFFF" filled="t" stroked="t" coordsize="21600,21600" o:gfxdata="UEsDBAoAAAAAAIdO4kAAAAAAAAAAAAAAAAAEAAAAZHJzL1BLAwQUAAAACACHTuJAXHJ5ntYAAAAI&#10;AQAADwAAAGRycy9kb3ducmV2LnhtbE2PwU7DMBBE70j8g7VI3KgTV1QhxOkBVCSObXrh5sRLkjZe&#10;R7HTBr6e5QSn1WhGs2+K7eIGccEp9J40pKsEBFLjbU+thmO1e8hAhGjImsETavjCANvy9qYwufVX&#10;2uPlEFvBJRRyo6GLccylDE2HzoSVH5HY+/STM5Hl1Eo7mSuXu0GqJNlIZ3riD50Z8aXD5nyYnYa6&#10;V0fzva/eEve0W8f3pTrNH69a39+lyTOIiEv8C8MvPqNDyUy1n8kGMbDOeErUoPiw/agyBaLWsFbp&#10;BmRZyP8Dyh9QSwMEFAAAAAgAh07iQCtYYc46AgAAewQAAA4AAABkcnMvZTJvRG9jLnhtbK1UwW4T&#10;MRC9I/EPlu90k23SJqtsqipREVKBSoUPcLzerIXtMWMnm/AzSNz4CD4H8RvMetOQFg49sAfL4xk/&#10;z3szs7OrnTVsqzBocCUfng04U05Cpd265B8/3LyacBaicJUw4FTJ9yrwq/nLF7PWFyqHBkylkBGI&#10;C0XrS97E6IssC7JRVoQz8MqRswa0IpKJ66xC0RK6NVk+GFxkLWDlEaQKgU6XvZMfEPE5gFDXWqol&#10;yI1VLvaoqIyIRCk02gc+T9nWtZLxfV0HFZkpOTGNaaVHaL/q1mw+E8UahW+0PKQgnpPCE05WaEeP&#10;HqGWIgq2Qf0XlNUSIUAdzyTYrCeSFCEWw8ETbe4b4VXiQlIHfxQ9/D9Y+W57h0xXJZ9y5oSlgv/6&#10;+v3nj29s0mnT+lBQyL2/w45d8LcgPwXmYNEIt1bXiNA2SlSU0bCLzx5d6IxAV9mqfQsVQYtNhCTT&#10;rkbbAZIAbJeqsT9WQ+0ik3R4np9PLy+pUJJ8+SCfji5SvTJRPFz3GOJrBZZ1m5IjlTvBi+1tiF06&#10;ongISemD0dWNNiYZuF4tDLKtoNa4SV9iQCxPw4xjLYkzzscJ+ZEvnEIM0vcvCKsjTYzRtuST0yDj&#10;DoJ1GvVax91qd5B9BdWepEPoe5YmljYN4BfOWurXkofPG4GKM/PGkfzT4WjUNXgyRuPLnAw89axO&#10;PcJJgip55KzfLmI/FBuPet3QS8NE18E1lazWScyunH1Wh7ypJ5PGh/npmv7UTlF//h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xyeZ7WAAAACAEAAA8AAAAAAAAAAQAgAAAAIgAAAGRycy9kb3du&#10;cmV2LnhtbFBLAQIUABQAAAAIAIdO4kArWGHOOgIAAHsEAAAOAAAAAAAAAAEAIAAAACUBAABkcnMv&#10;ZTJvRG9jLnhtbFBLBQYAAAAABgAGAFkBAADRBQAAAAA=&#10;">
                <v:fill on="t" focussize="0,0"/>
                <v:stroke color="#000000" miterlimit="8" joinstyle="miter"/>
                <v:imagedata o:title=""/>
                <o:lock v:ext="edit" aspectratio="f"/>
                <v:textbox>
                  <w:txbxContent>
                    <w:p/>
                    <w:p/>
                    <w:p/>
                    <w:p/>
                    <w:p>
                      <w:pPr>
                        <w:jc w:val="center"/>
                      </w:pPr>
                      <w:r>
                        <w:rPr>
                          <w:rFonts w:hint="eastAsia"/>
                        </w:rPr>
                        <w:t>法定代表人第二代居民身份证复印件</w:t>
                      </w:r>
                    </w:p>
                    <w:p>
                      <w:pPr>
                        <w:jc w:val="center"/>
                        <w:rPr>
                          <w:b/>
                        </w:rPr>
                      </w:pPr>
                      <w:r>
                        <w:rPr>
                          <w:rFonts w:hint="eastAsia"/>
                          <w:b/>
                        </w:rPr>
                        <w:t>（正面）</w:t>
                      </w: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8" name="直线 6"/>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6" o:spid="_x0000_s1026" o:spt="20" style="position:absolute;left:0pt;margin-left:0pt;margin-top:0pt;height:0pt;width:483pt;mso-wrap-distance-bottom:0pt;mso-wrap-distance-top:14.2pt;z-index:251661312;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KUxjhjXAQAAoQMAAA4AAABkcnMvZTJvRG9jLnhtbK1TS44TMRDdI3EH&#10;y3vSSWAiaKUzi0TDZoCRZjhAxe1OW9guy+Wkk7NwDVZsOM5cg7LzYRg2s6AXlu2qelXvPff8eu+s&#10;2OlIBn0jJ6OxFNorbI3fNPLrw82b91JQAt+CRa8bedAkrxevX82HUOsp9mhbHQWDeKqH0Mg+pVBX&#10;FaleO6ARBu052GF0kPgYN1UbYWB0Z6vpeDyrBoxtiKg0Ed+ujkF5QowvAcSuM0qvUG2d9umIGrWF&#10;xJSoN4HkokzbdVqlL11HOgnbSGaayspNeL/Oa7WYQ72JEHqjTiPAS0Z4xsmB8dz0ArWCBGIbzT9Q&#10;zqiIhF0aKXTVkUhRhFlMxs+0ue8h6MKFpaZwEZ3+H6z6vLuLwrSNZNs9ODb88fuPx5+/xCxrMwSq&#10;OWXp72Jmp/b+Ptyi+kbC47IHv9FlxodD4MJJrqj+KskHCtxhPXzClnNgm7AIte+iy5AsgdgXPw4X&#10;P/Q+CcWXs8nbd5MxW6XOsQrqc2GIlD5qdCJvGmmNz1JBDbtbSnkQqM8p+drjjbG22G29GBr54Wp6&#10;VQoIrWlzMKdR3KyXNood5AdTvsKKI0/TIm59e2xi/Yl05nlUbI3t4S6exWDnyjSnV5afxtNzqf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ClMY4Y1wEAAKEDAAAOAAAAAAAAAAEAIAAA&#10;AB8BAABkcnMvZTJvRG9jLnhtbFBLBQYAAAAABgAGAFkBAABoBQAAAAA=&#10;">
                <v:fill on="f" focussize="0,0"/>
                <v:stroke color="#000000" joinstyle="round"/>
                <v:imagedata o:title=""/>
                <o:lock v:ext="edit" aspectratio="f"/>
                <w10:wrap type="topAndBottom"/>
              </v:line>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ind w:firstLine="6000" w:firstLineChars="3000"/>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66040</wp:posOffset>
                </wp:positionV>
                <wp:extent cx="3220720" cy="1893570"/>
                <wp:effectExtent l="9525" t="8890" r="8255" b="12065"/>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3220720" cy="18935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法定代表人第二代居民身份证复印件</w:t>
                            </w:r>
                          </w:p>
                          <w:p>
                            <w:pPr>
                              <w:jc w:val="center"/>
                              <w:rPr>
                                <w:b/>
                              </w:rP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pt;margin-top:5.2pt;height:149.1pt;width:253.6pt;z-index:251663360;mso-width-relative:page;mso-height-relative:page;" fillcolor="#FFFFFF" filled="t" stroked="t" coordsize="21600,21600" o:gfxdata="UEsDBAoAAAAAAIdO4kAAAAAAAAAAAAAAAAAEAAAAZHJzL1BLAwQUAAAACACHTuJAT8O04dcAAAAJ&#10;AQAADwAAAGRycy9kb3ducmV2LnhtbE2PwU7DMBBE70j8g7VI3KjdlFZpiNMDqEgc2/TCbRNvk0Bs&#10;R7HTBr6e5QSn1WhGs2/y3Wx7caExdN5pWC4UCHK1N51rNJzK/UMKIkR0BnvvSMMXBdgVtzc5ZsZf&#10;3YEux9gILnEhQw1tjEMmZahbshgWfiDH3tmPFiPLsZFmxCuX214mSm2kxc7xhxYHem6p/jxOVkPV&#10;JSf8PpSvym73q/g2lx/T+4vW93dL9QQi0hz/wvCLz+hQMFPlJ2eC6FmnPCXyVY8g2F8n6wREpWGl&#10;0g3IIpf/FxQ/UEsDBBQAAAAIAIdO4kAvJbZ7OgIAAHsEAAAOAAAAZHJzL2Uyb0RvYy54bWytVMFu&#10;EzEQvSPxD5bvZJM0Ickqm6pKFIRUoFLhAxyvN2the8zYyab8DBK3fgSfg/gNZr1pSAuHHtiD5fGM&#10;n+e9mdn55cEatlcYNLiCD3p9zpSTUGq3Lfinj+tXU85CFK4UBpwq+J0K/HLx8sW88bkaQg2mVMgI&#10;xIW88QWvY/R5lgVZKytCD7xy5KwArYhk4jYrUTSEbk027PdfZw1g6RGkCoFOV52THxHxOYBQVVqq&#10;FcidVS52qKiMiEQp1NoHvkjZVpWS8UNVBRWZKTgxjWmlR2i/addsMRf5FoWvtTymIJ6TwhNOVmhH&#10;j56gViIKtkP9F5TVEiFAFXsSbNYRSYoQi0H/iTa3tfAqcSGpgz+JHv4frHy/v0Gmy4JPOHPCUsF/&#10;fbv/+eM7m7TaND7kFHLrb7BlF/w1yM+BOVjWwm3VFSI0tRIlZTRo47NHF1oj0FW2ad5BSdBiFyHJ&#10;dKjQtoAkADukatydqqEOkUk6vBgO+5MhFUqSbzCdXYwnqV6ZyB+uewzxjQLL2k3Bkcqd4MX+OsQ2&#10;HZE/hKT0wehyrY1JBm43S4NsL6g11ulLDIjleZhxrCn4bDwcJ+RHvnAO0U/fvyCsjjQxRtuCT8+D&#10;jDsK1mrUaR0Pm8NR9g2UdyQdQtezNLG0qQG/ctZQvxY8fNkJVJyZt47knw1Go7bBkzEaJ+Hw3LM5&#10;9wgnCargkbNuu4zdUOw86m1NLw0SXQdXVLJKJzHbcnZZHfOmnkwaH+enbfpzO0X9+Wc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w7Th1wAAAAkBAAAPAAAAAAAAAAEAIAAAACIAAABkcnMvZG93&#10;bnJldi54bWxQSwECFAAUAAAACACHTuJALyW2ezoCAAB7BAAADgAAAAAAAAABACAAAAAmAQAAZHJz&#10;L2Uyb0RvYy54bWxQSwUGAAAAAAYABgBZAQAA0gUAAAAA&#10;">
                <v:fill on="t" focussize="0,0"/>
                <v:stroke color="#000000" miterlimit="8" joinstyle="miter"/>
                <v:imagedata o:title=""/>
                <o:lock v:ext="edit" aspectratio="f"/>
                <v:textbox>
                  <w:txbxContent>
                    <w:p/>
                    <w:p/>
                    <w:p/>
                    <w:p/>
                    <w:p>
                      <w:pPr>
                        <w:jc w:val="center"/>
                      </w:pPr>
                      <w:r>
                        <w:rPr>
                          <w:rFonts w:hint="eastAsia"/>
                        </w:rPr>
                        <w:t>法定代表人第二代居民身份证复印件</w:t>
                      </w:r>
                    </w:p>
                    <w:p>
                      <w:pPr>
                        <w:jc w:val="center"/>
                        <w:rPr>
                          <w:b/>
                        </w:rPr>
                      </w:pPr>
                      <w:r>
                        <w:rPr>
                          <w:rFonts w:hint="eastAsia"/>
                          <w:b/>
                        </w:rPr>
                        <w:t>（背面）</w:t>
                      </w:r>
                    </w:p>
                  </w:txbxContent>
                </v:textbox>
              </v:rect>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sz w:val="44"/>
          <w:highlight w:val="none"/>
        </w:rPr>
      </w:pPr>
    </w:p>
    <w:p>
      <w:pPr>
        <w:pStyle w:val="23"/>
        <w:spacing w:line="440" w:lineRule="exact"/>
        <w:rPr>
          <w:rFonts w:hAnsi="宋体" w:cs="宋体"/>
          <w:color w:val="auto"/>
          <w:sz w:val="44"/>
          <w:highlight w:val="none"/>
        </w:rPr>
      </w:pPr>
    </w:p>
    <w:p>
      <w:pPr>
        <w:pStyle w:val="23"/>
        <w:spacing w:line="440" w:lineRule="exact"/>
        <w:rPr>
          <w:rFonts w:hAnsi="宋体" w:cs="宋体"/>
          <w:color w:val="auto"/>
          <w:sz w:val="44"/>
          <w:highlight w:val="none"/>
        </w:rPr>
      </w:pPr>
    </w:p>
    <w:p>
      <w:pPr>
        <w:spacing w:line="440" w:lineRule="exact"/>
        <w:rPr>
          <w:rFonts w:ascii="宋体" w:hAnsi="宋体" w:cs="宋体"/>
          <w:color w:val="auto"/>
          <w:highlight w:val="none"/>
        </w:rPr>
      </w:pPr>
    </w:p>
    <w:p>
      <w:pPr>
        <w:pStyle w:val="23"/>
        <w:spacing w:line="440" w:lineRule="exact"/>
        <w:ind w:firstLine="5500" w:firstLineChars="2750"/>
        <w:rPr>
          <w:rFonts w:hAnsi="宋体" w:cs="宋体"/>
          <w:color w:val="auto"/>
          <w:highlight w:val="none"/>
        </w:rPr>
      </w:pPr>
    </w:p>
    <w:p>
      <w:pPr>
        <w:pStyle w:val="23"/>
        <w:spacing w:line="440" w:lineRule="exact"/>
        <w:ind w:firstLine="5500" w:firstLineChars="2750"/>
        <w:rPr>
          <w:rFonts w:hAnsi="宋体" w:cs="宋体"/>
          <w:color w:val="auto"/>
          <w:highlight w:val="none"/>
        </w:rPr>
      </w:pPr>
    </w:p>
    <w:p>
      <w:pPr>
        <w:spacing w:line="440" w:lineRule="exact"/>
        <w:rPr>
          <w:rFonts w:ascii="宋体" w:hAnsi="宋体" w:cs="宋体"/>
          <w:b/>
          <w:color w:val="auto"/>
          <w:highlight w:val="none"/>
        </w:rPr>
      </w:pPr>
      <w:r>
        <w:rPr>
          <w:rFonts w:hint="eastAsia" w:ascii="宋体" w:hAnsi="宋体" w:cs="宋体"/>
          <w:b/>
          <w:color w:val="auto"/>
          <w:highlight w:val="none"/>
        </w:rPr>
        <w:t>二、法定代表人授权委托书格式</w:t>
      </w:r>
    </w:p>
    <w:p>
      <w:pPr>
        <w:pStyle w:val="23"/>
        <w:spacing w:line="440" w:lineRule="exact"/>
        <w:jc w:val="center"/>
        <w:rPr>
          <w:rFonts w:hAnsi="宋体" w:cs="宋体"/>
          <w:b/>
          <w:color w:val="auto"/>
          <w:sz w:val="32"/>
          <w:highlight w:val="none"/>
        </w:rPr>
      </w:pPr>
    </w:p>
    <w:p>
      <w:pPr>
        <w:pStyle w:val="23"/>
        <w:spacing w:line="440" w:lineRule="exact"/>
        <w:jc w:val="center"/>
        <w:rPr>
          <w:rFonts w:hAnsi="宋体" w:cs="宋体"/>
          <w:b/>
          <w:color w:val="auto"/>
          <w:sz w:val="32"/>
          <w:highlight w:val="none"/>
        </w:rPr>
      </w:pPr>
      <w:r>
        <w:rPr>
          <w:rFonts w:hint="eastAsia" w:hAnsi="宋体" w:cs="宋体"/>
          <w:b/>
          <w:color w:val="auto"/>
          <w:sz w:val="32"/>
          <w:highlight w:val="none"/>
        </w:rPr>
        <w:t>法定代表人授权委托书</w:t>
      </w:r>
    </w:p>
    <w:p>
      <w:pPr>
        <w:snapToGrid w:val="0"/>
        <w:spacing w:line="440" w:lineRule="exact"/>
        <w:rPr>
          <w:rFonts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广西德元工程项目管理有限责任公司</w:t>
      </w:r>
      <w:r>
        <w:rPr>
          <w:rFonts w:hint="eastAsia" w:ascii="宋体" w:hAnsi="宋体" w:cs="宋体"/>
          <w:color w:val="auto"/>
          <w:szCs w:val="21"/>
          <w:highlight w:val="none"/>
        </w:rPr>
        <w:t>：</w:t>
      </w:r>
    </w:p>
    <w:p>
      <w:pPr>
        <w:snapToGrid w:val="0"/>
        <w:spacing w:line="440" w:lineRule="exact"/>
        <w:ind w:firstLine="630" w:firstLineChars="300"/>
        <w:rPr>
          <w:rFonts w:ascii="宋体" w:hAnsi="宋体" w:cs="宋体"/>
          <w:color w:val="auto"/>
          <w:szCs w:val="21"/>
          <w:highlight w:val="none"/>
        </w:rPr>
      </w:pPr>
      <w:r>
        <w:rPr>
          <w:rFonts w:hint="eastAsia" w:ascii="宋体" w:hAnsi="宋体" w:cs="宋体"/>
          <w:color w:val="auto"/>
          <w:szCs w:val="21"/>
          <w:highlight w:val="none"/>
        </w:rPr>
        <w:t>我 （姓名）系（供应商名称）的法定代表人，现授权委托（姓名）以我方的名义参加项目的磋商采购活动，并代表我方全权办理针对上述磋商采购项目的磋商、开标、评标、签约等具体事务和签署相关文件。</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我方对被授权人的签名事项负全部责任。代理期限从   年  月  日至   年  月  日止。</w:t>
      </w:r>
    </w:p>
    <w:p>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u w:val="single"/>
        </w:rPr>
        <w:t>在撤销授权的书面通知以前，本授权书一直有效。</w:t>
      </w:r>
      <w:r>
        <w:rPr>
          <w:rFonts w:hint="eastAsia" w:ascii="宋体" w:hAnsi="宋体" w:cs="宋体"/>
          <w:color w:val="auto"/>
          <w:szCs w:val="21"/>
          <w:highlight w:val="none"/>
        </w:rPr>
        <w:t>被授权人在授权书有效期内签署的所有文件不因授权的撤销而失效。</w:t>
      </w:r>
    </w:p>
    <w:p>
      <w:pPr>
        <w:snapToGrid w:val="0"/>
        <w:spacing w:line="440" w:lineRule="exact"/>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pPr>
        <w:snapToGrid w:val="0"/>
        <w:spacing w:line="440" w:lineRule="exact"/>
        <w:rPr>
          <w:rFonts w:ascii="宋体" w:hAnsi="宋体" w:cs="宋体"/>
          <w:color w:val="auto"/>
          <w:szCs w:val="21"/>
          <w:highlight w:val="none"/>
        </w:rPr>
      </w:pPr>
    </w:p>
    <w:p>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被授权人</w:t>
      </w:r>
      <w:r>
        <w:rPr>
          <w:rFonts w:hint="eastAsia" w:ascii="宋体" w:hAnsi="宋体" w:cs="宋体"/>
          <w:b/>
          <w:color w:val="auto"/>
          <w:szCs w:val="21"/>
          <w:highlight w:val="none"/>
        </w:rPr>
        <w:t>签名</w:t>
      </w:r>
      <w:r>
        <w:rPr>
          <w:rFonts w:hint="eastAsia" w:ascii="宋体" w:hAnsi="宋体" w:cs="宋体"/>
          <w:color w:val="auto"/>
          <w:szCs w:val="21"/>
          <w:highlight w:val="none"/>
        </w:rPr>
        <w:t>：            法定代表人</w:t>
      </w:r>
      <w:r>
        <w:rPr>
          <w:rFonts w:hint="eastAsia" w:ascii="宋体" w:hAnsi="宋体" w:cs="宋体"/>
          <w:b/>
          <w:color w:val="auto"/>
          <w:szCs w:val="21"/>
          <w:highlight w:val="none"/>
        </w:rPr>
        <w:t>签名</w:t>
      </w:r>
      <w:r>
        <w:rPr>
          <w:rFonts w:hint="eastAsia" w:ascii="宋体" w:hAnsi="宋体" w:cs="宋体"/>
          <w:color w:val="auto"/>
          <w:szCs w:val="21"/>
          <w:highlight w:val="none"/>
        </w:rPr>
        <w:t>：</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所在部门职务：            职务：</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被授权人身份证号码：</w:t>
      </w:r>
    </w:p>
    <w:p>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line="440" w:lineRule="exact"/>
        <w:jc w:val="center"/>
        <w:rPr>
          <w:rFonts w:ascii="宋体"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12700</wp:posOffset>
                </wp:positionV>
                <wp:extent cx="3125470" cy="1941830"/>
                <wp:effectExtent l="9525" t="12700" r="8255" b="7620"/>
                <wp:wrapNone/>
                <wp:docPr id="6" name="矩形 11"/>
                <wp:cNvGraphicFramePr/>
                <a:graphic xmlns:a="http://schemas.openxmlformats.org/drawingml/2006/main">
                  <a:graphicData uri="http://schemas.microsoft.com/office/word/2010/wordprocessingShape">
                    <wps:wsp>
                      <wps:cNvSpPr>
                        <a:spLocks noChangeArrowheads="1"/>
                      </wps:cNvSpPr>
                      <wps:spPr bwMode="auto">
                        <a:xfrm>
                          <a:off x="0" y="0"/>
                          <a:ext cx="3125470" cy="1941830"/>
                        </a:xfrm>
                        <a:prstGeom prst="rect">
                          <a:avLst/>
                        </a:prstGeom>
                        <a:solidFill>
                          <a:srgbClr val="FFFFFF"/>
                        </a:solidFill>
                        <a:ln w="9525">
                          <a:solidFill>
                            <a:srgbClr val="000000"/>
                          </a:solidFill>
                          <a:miter lim="800000"/>
                        </a:ln>
                      </wps:spPr>
                      <wps:txbx>
                        <w:txbxContent>
                          <w:p/>
                          <w:p/>
                          <w:p/>
                          <w:p/>
                          <w:p/>
                          <w:p>
                            <w:pPr>
                              <w:jc w:val="center"/>
                            </w:pPr>
                            <w:r>
                              <w:rPr>
                                <w:rFonts w:hint="eastAsia"/>
                              </w:rPr>
                              <w:t>委托代理人第二代居民身份证复印件</w:t>
                            </w:r>
                          </w:p>
                          <w:p>
                            <w:pPr>
                              <w:jc w:val="center"/>
                            </w:pPr>
                            <w:r>
                              <w:rPr>
                                <w:rFonts w:hint="eastAsia"/>
                                <w:b/>
                              </w:rPr>
                              <w:t>（正面）</w:t>
                            </w:r>
                          </w:p>
                          <w:p>
                            <w:pPr>
                              <w:jc w:val="center"/>
                            </w:pPr>
                          </w:p>
                        </w:txbxContent>
                      </wps:txbx>
                      <wps:bodyPr rot="0" vert="horz" wrap="square" lIns="91440" tIns="45720" rIns="91440" bIns="45720" anchor="t" anchorCtr="0" upright="1">
                        <a:noAutofit/>
                      </wps:bodyPr>
                    </wps:wsp>
                  </a:graphicData>
                </a:graphic>
              </wp:anchor>
            </w:drawing>
          </mc:Choice>
          <mc:Fallback>
            <w:pict>
              <v:rect id="矩形 11" o:spid="_x0000_s1026" o:spt="1" style="position:absolute;left:0pt;margin-left:9pt;margin-top:1pt;height:152.9pt;width:246.1pt;z-index:251666432;mso-width-relative:page;mso-height-relative:page;" fillcolor="#FFFFFF" filled="t" stroked="t" coordsize="21600,21600" o:gfxdata="UEsDBAoAAAAAAIdO4kAAAAAAAAAAAAAAAAAEAAAAZHJzL1BLAwQUAAAACACHTuJA2BiegNYAAAAI&#10;AQAADwAAAGRycy9kb3ducmV2LnhtbE2PwU7DMBBE70j8g7VI3KidVEAIcXoAFYljm164bWKTBOJ1&#10;FDtt2q9nOcFpNZrR7Jtis7hBHO0Uek8akpUCYanxpqdWw6Ha3mUgQkQyOHiyGs42wKa8viowN/5E&#10;O3vcx1ZwCYUcNXQxjrmUoemsw7DyoyX2Pv3kMLKcWmkmPHG5G2Sq1IN02BN/6HC0L51tvvez01D3&#10;6QEvu+pNuaftOr4v1df88ar17U2inkFEu8S/MPziMzqUzFT7mUwQA+uMp0QNKR+27xOVgqg1rNVj&#10;BrIs5P8B5Q9QSwMEFAAAAAgAh07iQEYlK507AgAAfAQAAA4AAABkcnMvZTJvRG9jLnhtbK1UwY7T&#10;MBC9I/EPlu80Tbfdbaumq1WrIqQFVlr4ANdxGgvbY8Zu0+VnkLjxEXwO4jeYOG3pLhz2QA6RJzN+&#10;fu/NOLPrvTVspzBocAXPe33OlJNQarcp+McPq1djzkIUrhQGnCr4gwr8ev7yxazxUzWAGkypkBGI&#10;C9PGF7yO0U+zLMhaWRF64JWjZAVoRaQQN1mJoiF0a7JBv3+ZNYClR5AqBPq67JL8gIjPAYSq0lIt&#10;QW6tcrFDRWVEJEmh1j7weWJbVUrG91UVVGSm4KQ0pjcdQut1+87mMzHdoPC1lgcK4jkUnmiyQjs6&#10;9AS1FFGwLeq/oKyWCAGq2JNgs05IcoRU5P0n3tzXwqukhawO/mR6+H+w8t3uDpkuC37JmROWGv7r&#10;6/efP76xPG/NaXyYUs29v8NWXvC3ID8F5mBRC7dRN4jQ1EqURCnVZ482tEGgrWzdvIWSsMU2QvJp&#10;X6FtAckBtk/teDi1Q+0jk/TxIh+MhlfUKUm5fDLMxxepYZmYHrd7DPG1AsvaRcGR+p3gxe42RKJP&#10;pceSRB+MLlfamBTgZr0wyHaCZmOVnlYxbQnnZcaxpuCT0WCUkB/lwjlEPz3/grA60pUx2hZ8fF5k&#10;HB139KjzOu7X+4PtaygfyDqEbmjpytKiBvzCWUMDW/DweStQcWbeOLJ/kg+H7YSnYDi6GlCA55n1&#10;eUY4SVAFj5x1y0XsbsXWo97UdFKe5Dq4oZZVOpnZUu1YHXjTUCbDDheonfrzOFX9+Wn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GJ6A1gAAAAgBAAAPAAAAAAAAAAEAIAAAACIAAABkcnMvZG93&#10;bnJldi54bWxQSwECFAAUAAAACACHTuJARiUrnTsCAAB8BAAADgAAAAAAAAABACAAAAAlAQAAZHJz&#10;L2Uyb0RvYy54bWxQSwUGAAAAAAYABgBZAQAA0gUAAAAA&#10;">
                <v:fill on="t" focussize="0,0"/>
                <v:stroke color="#000000" miterlimit="8" joinstyle="miter"/>
                <v:imagedata o:title=""/>
                <o:lock v:ext="edit" aspectratio="f"/>
                <v:textbox>
                  <w:txbxContent>
                    <w:p/>
                    <w:p/>
                    <w:p/>
                    <w:p/>
                    <w:p/>
                    <w:p>
                      <w:pPr>
                        <w:jc w:val="center"/>
                      </w:pPr>
                      <w:r>
                        <w:rPr>
                          <w:rFonts w:hint="eastAsia"/>
                        </w:rPr>
                        <w:t>委托代理人第二代居民身份证复印件</w:t>
                      </w:r>
                    </w:p>
                    <w:p>
                      <w:pPr>
                        <w:jc w:val="center"/>
                      </w:pPr>
                      <w:r>
                        <w:rPr>
                          <w:rFonts w:hint="eastAsia"/>
                          <w:b/>
                        </w:rPr>
                        <w:t>（正面）</w:t>
                      </w:r>
                    </w:p>
                    <w:p>
                      <w:pPr>
                        <w:jc w:val="center"/>
                      </w:pPr>
                    </w:p>
                  </w:txbxContent>
                </v:textbox>
              </v:rect>
            </w:pict>
          </mc:Fallback>
        </mc:AlternateContent>
      </w:r>
      <w:r>
        <w:rPr>
          <w:rFonts w:hint="eastAsia" w:hAnsi="宋体" w:cs="宋体"/>
          <w:color w:val="auto"/>
          <w:highlight w:val="none"/>
        </w:rPr>
        <mc:AlternateContent>
          <mc:Choice Requires="wps">
            <w:drawing>
              <wp:anchor distT="18034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34100" cy="0"/>
                <wp:effectExtent l="9525" t="9525" r="9525" b="9525"/>
                <wp:wrapTopAndBottom/>
                <wp:docPr id="5" name="直线 9"/>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ln>
                      </wps:spPr>
                      <wps:bodyPr/>
                    </wps:wsp>
                  </a:graphicData>
                </a:graphic>
              </wp:anchor>
            </w:drawing>
          </mc:Choice>
          <mc:Fallback>
            <w:pict>
              <v:line id="直线 9" o:spid="_x0000_s1026" o:spt="20" style="position:absolute;left:0pt;margin-left:0pt;margin-top:0pt;height:0pt;width:483pt;mso-wrap-distance-bottom:0pt;mso-wrap-distance-top:14.2pt;z-index:251664384;mso-width-relative:page;mso-height-relative:page;" filled="f" stroked="t" coordsize="21600,21600" o:allowincell="f" o:gfxdata="UEsDBAoAAAAAAIdO4kAAAAAAAAAAAAAAAAAEAAAAZHJzL1BLAwQUAAAACACHTuJAXAdU99AAAAAC&#10;AQAADwAAAGRycy9kb3ducmV2LnhtbE2PTU/DMAyG70j8h8hIXCaWbEjVKE13AHrjwgDt6jWmrWic&#10;rsk+fz0eF7hYevRarx8Xy6Pv1Z7G2AW2MJsaUMR1cB03Fj7eq7sFqJiQHfaBycKJIizL66sCcxcO&#10;/Eb7VWqUlHDM0UKb0pBrHeuWPMZpGIgl+wqjxyQ4NtqNeJBy3+u5MZn22LFcaHGgp5bq79XOW4jV&#10;J22r86SemPV9E2i+fX59QWtvb2bmEVSiY/pbhou+qEMpTpuwYxdVb0EeSb9TsocsE9xcUJeF/q9e&#10;/gBQSwMEFAAAAAgAh07iQBODn6LXAQAAoQMAAA4AAABkcnMvZTJvRG9jLnhtbK1TS27bMBDdF+gd&#10;CO5rWW4dNILlLGykm7Q1kOQAY4qyiJIcgqQt+Sy9Rlfd9Di5RoeU7abpJotqQXB+b+a9oRY3g9Hs&#10;IH1QaGteTqacSSuwUXZX88eH23cfOQsRbAMaraz5UQZ+s3z7ZtG7Ss6wQ91IzwjEhqp3Ne9idFVR&#10;BNFJA2GCTloKtugNRDL9rmg89IRudDGbTq+KHn3jPAoZAnnXY5CfEP1rALFtlZBrFHsjbRxRvdQQ&#10;iVLolAt8madtWyni17YNMjJdc2Ia80lN6L5NZ7FcQLXz4DolTiPAa0Z4wcmAstT0ArWGCGzv1T9Q&#10;RgmPAds4EWiKkUhWhFiU0xfa3HfgZOZCUgd3ET38P1jx5bDxTDU1n3NmwdDCn77/ePr5i10nbXoX&#10;KkpZ2Y1P7MRg790dim+BWVx1YHcyz/hwdFRYporir5JkBEcdtv1nbCgH9hGzUEPrTYIkCdiQ93G8&#10;7EMOkQlyXpXvP5RTWpU4xwqozoXOh/hJomHpUnOtbJIKKjjchZgGgeqcktwWb5XWed3asr7m1/PZ&#10;PBcE1KpJwZQW/G670p4dID2Y/GVWFHme5nFvm7GJtifSieeo2Bab48afxaDN5WlOryw9jed2rv7z&#10;Z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wHVPfQAAAAAgEAAA8AAAAAAAAAAQAgAAAAIgAA&#10;AGRycy9kb3ducmV2LnhtbFBLAQIUABQAAAAIAIdO4kATg5+i1wEAAKEDAAAOAAAAAAAAAAEAIAAA&#10;AB8BAABkcnMvZTJvRG9jLnhtbFBLBQYAAAAABgAGAFkBAABoBQAAAAA=&#10;">
                <v:fill on="f" focussize="0,0"/>
                <v:stroke color="#000000" joinstyle="round"/>
                <v:imagedata o:title=""/>
                <o:lock v:ext="edit" aspectratio="f"/>
                <w10:wrap type="topAndBottom"/>
              </v:line>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ind w:firstLine="5200" w:firstLineChars="2600"/>
        <w:rPr>
          <w:rFonts w:hAnsi="宋体" w:cs="宋体"/>
          <w:color w:val="auto"/>
          <w:highlight w:val="none"/>
          <w:u w:val="singl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r>
        <w:rPr>
          <w:rFonts w:hint="eastAsia" w:hAnsi="宋体" w:cs="宋体"/>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79375</wp:posOffset>
                </wp:positionH>
                <wp:positionV relativeFrom="paragraph">
                  <wp:posOffset>105410</wp:posOffset>
                </wp:positionV>
                <wp:extent cx="3220720" cy="1827530"/>
                <wp:effectExtent l="12700" t="10160" r="5080" b="10160"/>
                <wp:wrapSquare wrapText="bothSides"/>
                <wp:docPr id="4" name="矩形 10"/>
                <wp:cNvGraphicFramePr/>
                <a:graphic xmlns:a="http://schemas.openxmlformats.org/drawingml/2006/main">
                  <a:graphicData uri="http://schemas.microsoft.com/office/word/2010/wordprocessingShape">
                    <wps:wsp>
                      <wps:cNvSpPr>
                        <a:spLocks noChangeArrowheads="1"/>
                      </wps:cNvSpPr>
                      <wps:spPr bwMode="auto">
                        <a:xfrm>
                          <a:off x="0" y="0"/>
                          <a:ext cx="3220720" cy="1827530"/>
                        </a:xfrm>
                        <a:prstGeom prst="rect">
                          <a:avLst/>
                        </a:prstGeom>
                        <a:solidFill>
                          <a:srgbClr val="FFFFFF"/>
                        </a:solidFill>
                        <a:ln w="9525">
                          <a:solidFill>
                            <a:srgbClr val="000000"/>
                          </a:solidFill>
                          <a:miter lim="800000"/>
                        </a:ln>
                      </wps:spPr>
                      <wps:txbx>
                        <w:txbxContent>
                          <w:p/>
                          <w:p/>
                          <w:p/>
                          <w:p/>
                          <w:p/>
                          <w:p>
                            <w:pPr>
                              <w:jc w:val="center"/>
                            </w:pPr>
                            <w:r>
                              <w:rPr>
                                <w:rFonts w:hint="eastAsia"/>
                              </w:rPr>
                              <w:t>委托代理人第二代居民身份证复印件</w:t>
                            </w:r>
                          </w:p>
                          <w:p>
                            <w:pPr>
                              <w:jc w:val="center"/>
                            </w:pPr>
                            <w:r>
                              <w:rPr>
                                <w:rFonts w:hint="eastAsia"/>
                                <w:b/>
                              </w:rPr>
                              <w:t>（背面）</w:t>
                            </w: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6.25pt;margin-top:8.3pt;height:143.9pt;width:253.6pt;mso-wrap-distance-bottom:0pt;mso-wrap-distance-left:9pt;mso-wrap-distance-right:9pt;mso-wrap-distance-top:0pt;z-index:251665408;mso-width-relative:page;mso-height-relative:page;" fillcolor="#FFFFFF" filled="t" stroked="t" coordsize="21600,21600" o:gfxdata="UEsDBAoAAAAAAIdO4kAAAAAAAAAAAAAAAAAEAAAAZHJzL1BLAwQUAAAACACHTuJAZT9mStgAAAAJ&#10;AQAADwAAAGRycy9kb3ducmV2LnhtbE2PQU+DQBCF7yb+h82YeLO70BZbZOlBUxOPLb14W2AKKDtL&#10;2KVFf73jSU+Tl/fy5nvZbra9uODoO0caooUCgVS5uqNGw6nYP2xA+GCoNr0j1PCFHnb57U1m0tpd&#10;6YCXY2gEl5BPjYY2hCGV0lctWuMXbkBi7+xGawLLsZH1aK5cbnsZK5VIazriD60Z8LnF6vM4WQ1l&#10;F5/M96F4VXa7X4a3ufiY3l+0vr+L1BOIgHP4C8MvPqNDzkylm6j2omcdrznJN0lAsL+Oto8gSg1L&#10;tVqBzDP5f0H+A1BLAwQUAAAACACHTuJAoyPgVDoCAAB8BAAADgAAAGRycy9lMm9Eb2MueG1srVRB&#10;btswELwX6B8I3mtZit04guUgsOGiQNoGSPsAmqIsoiSXXdKW088U6K2P6HOKfqMr2nGctIccqoPA&#10;1S6HM7NLTS931rCtwqDBVTwfDDlTTkKt3brinz4uX004C1G4WhhwquJ3KvDL2csX086XqoAWTK2Q&#10;EYgLZecr3sboyywLslVWhAF45SjZAFoRKcR1VqPoCN2arBgOX2cdYO0RpAqBvi72SX5AxOcAQtNo&#10;qRYgN1a5uEdFZUQkSaHVPvBZYts0SsYPTRNUZKbipDSmNx1C61X/zmZTUa5R+FbLAwXxHApPNFmh&#10;HR16hFqIKNgG9V9QVkuEAE0cSLDZXkhyhFTkwyfe3LbCq6SFrA7+aHr4f7Dy/fYGma4rPuLMCUsN&#10;//3tx6+f31mezOl8KKnm1t9gLy/4a5CfA3Mwb4VbqytE6FolaqKU92Zmjzb0QaCtbNW9g5qwxSZC&#10;8mnXoO0ByQG2S+24O7ZD7SKT9PGsKIbnBXVKUi6fFOfjs8QpE+X9do8hvlFgWb+oOFK/E7zYXofY&#10;0xHlfUmiD0bXS21MCnC9mhtkW0GzsUxPUkAqT8uMY13FL8bFOCE/yoVTiGF6/gVhdaQrY7St+OS0&#10;yLiDYb1H/ciGMu5WO+LdL1dQ35F1CPuhpStLixbwK2cdDWzFw5eNQMWZeevI/ot8NOonPAWjcTIO&#10;TzOr04xwkqAqHjnbL+dxfys2HvW6pZPyJNfBFbWs0cnMB1YH3jSUyePDBeqn/jROVQ8/jd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T9mStgAAAAJAQAADwAAAAAAAAABACAAAAAiAAAAZHJzL2Rv&#10;d25yZXYueG1sUEsBAhQAFAAAAAgAh07iQKMj4FQ6AgAAfAQAAA4AAAAAAAAAAQAgAAAAJwEAAGRy&#10;cy9lMm9Eb2MueG1sUEsFBgAAAAAGAAYAWQEAANMFAAAAAA==&#10;">
                <v:fill on="t" focussize="0,0"/>
                <v:stroke color="#000000" miterlimit="8" joinstyle="miter"/>
                <v:imagedata o:title=""/>
                <o:lock v:ext="edit" aspectratio="f"/>
                <v:textbox>
                  <w:txbxContent>
                    <w:p/>
                    <w:p/>
                    <w:p/>
                    <w:p/>
                    <w:p/>
                    <w:p>
                      <w:pPr>
                        <w:jc w:val="center"/>
                      </w:pPr>
                      <w:r>
                        <w:rPr>
                          <w:rFonts w:hint="eastAsia"/>
                        </w:rPr>
                        <w:t>委托代理人第二代居民身份证复印件</w:t>
                      </w:r>
                    </w:p>
                    <w:p>
                      <w:pPr>
                        <w:jc w:val="center"/>
                      </w:pPr>
                      <w:r>
                        <w:rPr>
                          <w:rFonts w:hint="eastAsia"/>
                          <w:b/>
                        </w:rPr>
                        <w:t>（背面）</w:t>
                      </w:r>
                    </w:p>
                  </w:txbxContent>
                </v:textbox>
                <w10:wrap type="square"/>
              </v:rect>
            </w:pict>
          </mc:Fallback>
        </mc:AlternateContent>
      </w: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highlight w:val="none"/>
        </w:rPr>
      </w:pPr>
    </w:p>
    <w:p>
      <w:pPr>
        <w:pStyle w:val="23"/>
        <w:spacing w:line="440" w:lineRule="exact"/>
        <w:rPr>
          <w:rFonts w:hAnsi="宋体" w:cs="宋体"/>
          <w:color w:val="auto"/>
          <w:sz w:val="44"/>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三、商务响应表格式</w:t>
      </w:r>
    </w:p>
    <w:p>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商务响应表（格式）</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977"/>
        <w:gridCol w:w="1275"/>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磋商文件的商务条款</w:t>
            </w: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是否响应</w:t>
            </w: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r>
              <w:rPr>
                <w:rFonts w:hint="eastAsia" w:hAnsi="宋体" w:cs="宋体"/>
                <w:color w:val="auto"/>
                <w:sz w:val="24"/>
                <w:szCs w:val="24"/>
                <w:highlight w:val="none"/>
              </w:rPr>
              <w:t>响应文件的承诺或说明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1"/>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center"/>
              <w:rPr>
                <w:rFonts w:hAnsi="宋体" w:cs="宋体"/>
                <w:color w:val="auto"/>
                <w:sz w:val="24"/>
                <w:szCs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c>
          <w:tcPr>
            <w:tcW w:w="3119" w:type="dxa"/>
            <w:tcBorders>
              <w:top w:val="single" w:color="auto" w:sz="4" w:space="0"/>
              <w:left w:val="single" w:color="auto" w:sz="4" w:space="0"/>
              <w:bottom w:val="single" w:color="auto" w:sz="4" w:space="0"/>
              <w:right w:val="single" w:color="auto" w:sz="4" w:space="0"/>
            </w:tcBorders>
            <w:vAlign w:val="center"/>
          </w:tcPr>
          <w:p>
            <w:pPr>
              <w:pStyle w:val="23"/>
              <w:spacing w:line="440" w:lineRule="exact"/>
              <w:jc w:val="left"/>
              <w:rPr>
                <w:rFonts w:hAnsi="宋体" w:cs="宋体"/>
                <w:color w:val="auto"/>
                <w:sz w:val="24"/>
                <w:szCs w:val="24"/>
                <w:highlight w:val="none"/>
              </w:rPr>
            </w:pPr>
          </w:p>
        </w:tc>
      </w:tr>
    </w:tbl>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四、技术响应表格式</w:t>
      </w:r>
    </w:p>
    <w:p>
      <w:pPr>
        <w:spacing w:line="440" w:lineRule="exact"/>
        <w:jc w:val="center"/>
        <w:rPr>
          <w:rFonts w:ascii="宋体" w:hAnsi="宋体" w:cs="宋体"/>
          <w:b/>
          <w:bCs/>
          <w:color w:val="auto"/>
          <w:kern w:val="0"/>
          <w:sz w:val="30"/>
          <w:highlight w:val="none"/>
        </w:rPr>
      </w:pPr>
      <w:r>
        <w:rPr>
          <w:rFonts w:hint="eastAsia" w:ascii="宋体" w:hAnsi="宋体" w:cs="宋体"/>
          <w:b/>
          <w:bCs/>
          <w:color w:val="auto"/>
          <w:kern w:val="0"/>
          <w:sz w:val="30"/>
          <w:highlight w:val="none"/>
        </w:rPr>
        <w:t>技术响应表（格式）</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8970"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7"/>
        <w:gridCol w:w="1364"/>
        <w:gridCol w:w="1681"/>
        <w:gridCol w:w="2120"/>
        <w:gridCol w:w="2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 w:hRule="exact"/>
        </w:trPr>
        <w:tc>
          <w:tcPr>
            <w:tcW w:w="827" w:type="dxa"/>
            <w:tcBorders>
              <w:top w:val="single" w:color="000000" w:sz="4" w:space="0"/>
              <w:left w:val="single" w:color="000000" w:sz="4" w:space="0"/>
              <w:bottom w:val="single" w:color="000000" w:sz="4" w:space="0"/>
              <w:right w:val="single" w:color="000000" w:sz="4" w:space="0"/>
            </w:tcBorders>
            <w:vAlign w:val="center"/>
          </w:tcPr>
          <w:p>
            <w:pPr>
              <w:pStyle w:val="207"/>
              <w:spacing w:line="440" w:lineRule="exact"/>
              <w:ind w:left="174" w:right="181"/>
              <w:jc w:val="center"/>
              <w:rPr>
                <w:color w:val="auto"/>
                <w:kern w:val="2"/>
                <w:sz w:val="21"/>
                <w:highlight w:val="none"/>
              </w:rPr>
            </w:pPr>
            <w:r>
              <w:rPr>
                <w:rFonts w:hint="eastAsia"/>
                <w:color w:val="auto"/>
                <w:kern w:val="2"/>
                <w:sz w:val="21"/>
                <w:highlight w:val="none"/>
              </w:rPr>
              <w:t>项号</w:t>
            </w:r>
          </w:p>
        </w:tc>
        <w:tc>
          <w:tcPr>
            <w:tcW w:w="1364" w:type="dxa"/>
            <w:tcBorders>
              <w:top w:val="single" w:color="000000" w:sz="4" w:space="0"/>
              <w:left w:val="single" w:color="000000" w:sz="4" w:space="0"/>
              <w:bottom w:val="single" w:color="000000" w:sz="4" w:space="0"/>
              <w:right w:val="single" w:color="000000" w:sz="4" w:space="0"/>
            </w:tcBorders>
            <w:vAlign w:val="center"/>
          </w:tcPr>
          <w:p>
            <w:pPr>
              <w:pStyle w:val="207"/>
              <w:spacing w:line="440" w:lineRule="exact"/>
              <w:ind w:left="254" w:right="0"/>
              <w:rPr>
                <w:color w:val="auto"/>
                <w:kern w:val="2"/>
                <w:sz w:val="21"/>
                <w:highlight w:val="none"/>
                <w:lang w:eastAsia="zh-CN"/>
              </w:rPr>
            </w:pPr>
            <w:r>
              <w:rPr>
                <w:rFonts w:hint="eastAsia"/>
                <w:color w:val="auto"/>
                <w:kern w:val="2"/>
                <w:sz w:val="21"/>
                <w:highlight w:val="none"/>
                <w:lang w:eastAsia="zh-CN"/>
              </w:rPr>
              <w:t>标的</w:t>
            </w:r>
            <w:r>
              <w:rPr>
                <w:rFonts w:hint="eastAsia"/>
                <w:color w:val="auto"/>
                <w:kern w:val="2"/>
                <w:sz w:val="21"/>
                <w:highlight w:val="none"/>
              </w:rPr>
              <w:t>名称</w:t>
            </w:r>
          </w:p>
        </w:tc>
        <w:tc>
          <w:tcPr>
            <w:tcW w:w="1681" w:type="dxa"/>
            <w:tcBorders>
              <w:top w:val="single" w:color="000000" w:sz="4" w:space="0"/>
              <w:left w:val="single" w:color="000000" w:sz="4" w:space="0"/>
              <w:bottom w:val="single" w:color="000000" w:sz="4" w:space="0"/>
              <w:right w:val="single" w:color="auto" w:sz="4" w:space="0"/>
            </w:tcBorders>
            <w:vAlign w:val="center"/>
          </w:tcPr>
          <w:p>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2120" w:type="dxa"/>
            <w:tcBorders>
              <w:top w:val="single" w:color="000000" w:sz="4" w:space="0"/>
              <w:left w:val="single" w:color="auto" w:sz="4" w:space="0"/>
              <w:bottom w:val="single" w:color="000000" w:sz="4" w:space="0"/>
              <w:right w:val="single" w:color="000000" w:sz="4" w:space="0"/>
            </w:tcBorders>
            <w:vAlign w:val="center"/>
          </w:tcPr>
          <w:p>
            <w:pPr>
              <w:snapToGrid w:val="0"/>
              <w:spacing w:before="120" w:beforeLines="50" w:line="440" w:lineRule="exact"/>
              <w:jc w:val="center"/>
              <w:rPr>
                <w:rFonts w:ascii="宋体" w:hAnsi="宋体" w:cs="宋体"/>
                <w:color w:val="auto"/>
                <w:szCs w:val="21"/>
                <w:highlight w:val="none"/>
              </w:rPr>
            </w:pPr>
            <w:r>
              <w:rPr>
                <w:rFonts w:hint="eastAsia" w:ascii="宋体" w:hAnsi="宋体" w:cs="宋体"/>
                <w:color w:val="auto"/>
                <w:szCs w:val="21"/>
                <w:highlight w:val="none"/>
              </w:rPr>
              <w:t>响应文件响应</w:t>
            </w:r>
          </w:p>
        </w:tc>
        <w:tc>
          <w:tcPr>
            <w:tcW w:w="2978" w:type="dxa"/>
            <w:tcBorders>
              <w:top w:val="single" w:color="000000" w:sz="4" w:space="0"/>
              <w:left w:val="single" w:color="000000" w:sz="4" w:space="0"/>
              <w:bottom w:val="single" w:color="000000" w:sz="4" w:space="0"/>
              <w:right w:val="single" w:color="000000" w:sz="4" w:space="0"/>
            </w:tcBorders>
            <w:vAlign w:val="center"/>
          </w:tcPr>
          <w:p>
            <w:pPr>
              <w:pStyle w:val="207"/>
              <w:spacing w:line="440" w:lineRule="exact"/>
              <w:ind w:left="-2" w:leftChars="-1" w:right="131"/>
              <w:jc w:val="center"/>
              <w:rPr>
                <w:color w:val="auto"/>
                <w:kern w:val="2"/>
                <w:sz w:val="21"/>
                <w:highlight w:val="none"/>
              </w:rPr>
            </w:pPr>
            <w:r>
              <w:rPr>
                <w:rFonts w:hint="eastAsia"/>
                <w:color w:val="auto"/>
                <w:kern w:val="2"/>
                <w:sz w:val="21"/>
                <w:highlight w:val="none"/>
              </w:rPr>
              <w:t>偏离情况说明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67" w:line="440" w:lineRule="exact"/>
              <w:ind w:left="0" w:right="7"/>
              <w:jc w:val="center"/>
              <w:rPr>
                <w:color w:val="auto"/>
                <w:kern w:val="2"/>
                <w:sz w:val="21"/>
                <w:highlight w:val="none"/>
              </w:rPr>
            </w:pPr>
            <w:r>
              <w:rPr>
                <w:rFonts w:hint="eastAsia"/>
                <w:color w:val="auto"/>
                <w:kern w:val="2"/>
                <w:sz w:val="21"/>
                <w:highlight w:val="none"/>
              </w:rPr>
              <w:t>1</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67" w:line="440" w:lineRule="exact"/>
              <w:ind w:left="0" w:right="7"/>
              <w:jc w:val="center"/>
              <w:rPr>
                <w:color w:val="auto"/>
                <w:kern w:val="2"/>
                <w:sz w:val="21"/>
                <w:highlight w:val="none"/>
              </w:rPr>
            </w:pPr>
            <w:r>
              <w:rPr>
                <w:rFonts w:hint="eastAsia"/>
                <w:color w:val="auto"/>
                <w:kern w:val="2"/>
                <w:sz w:val="21"/>
                <w:highlight w:val="none"/>
              </w:rPr>
              <w:t>2</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77" w:line="440" w:lineRule="exact"/>
              <w:ind w:left="0" w:right="7"/>
              <w:jc w:val="center"/>
              <w:rPr>
                <w:color w:val="auto"/>
                <w:kern w:val="2"/>
                <w:sz w:val="21"/>
                <w:highlight w:val="none"/>
              </w:rPr>
            </w:pPr>
            <w:r>
              <w:rPr>
                <w:rFonts w:hint="eastAsia"/>
                <w:color w:val="auto"/>
                <w:kern w:val="2"/>
                <w:sz w:val="21"/>
                <w:highlight w:val="none"/>
              </w:rPr>
              <w:t>…</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827" w:type="dxa"/>
            <w:tcBorders>
              <w:top w:val="single" w:color="000000" w:sz="4" w:space="0"/>
              <w:left w:val="single" w:color="000000" w:sz="4" w:space="0"/>
              <w:bottom w:val="single" w:color="000000" w:sz="4" w:space="0"/>
              <w:right w:val="single" w:color="000000" w:sz="4" w:space="0"/>
            </w:tcBorders>
          </w:tcPr>
          <w:p>
            <w:pPr>
              <w:pStyle w:val="207"/>
              <w:spacing w:before="167" w:line="440" w:lineRule="exact"/>
              <w:ind w:left="0" w:right="7"/>
              <w:jc w:val="center"/>
              <w:rPr>
                <w:color w:val="auto"/>
                <w:kern w:val="2"/>
                <w:sz w:val="21"/>
                <w:highlight w:val="none"/>
              </w:rPr>
            </w:pPr>
            <w:r>
              <w:rPr>
                <w:rFonts w:hint="eastAsia"/>
                <w:color w:val="auto"/>
                <w:kern w:val="2"/>
                <w:sz w:val="21"/>
                <w:highlight w:val="none"/>
              </w:rPr>
              <w:t>N</w:t>
            </w:r>
          </w:p>
        </w:tc>
        <w:tc>
          <w:tcPr>
            <w:tcW w:w="1364"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1681" w:type="dxa"/>
            <w:tcBorders>
              <w:top w:val="single" w:color="000000" w:sz="4" w:space="0"/>
              <w:left w:val="single" w:color="000000" w:sz="4" w:space="0"/>
              <w:bottom w:val="single" w:color="000000" w:sz="4" w:space="0"/>
              <w:right w:val="single" w:color="auto" w:sz="4" w:space="0"/>
            </w:tcBorders>
          </w:tcPr>
          <w:p>
            <w:pPr>
              <w:spacing w:line="440" w:lineRule="exact"/>
              <w:rPr>
                <w:rFonts w:ascii="宋体" w:hAnsi="宋体" w:cs="宋体"/>
                <w:color w:val="auto"/>
                <w:highlight w:val="none"/>
              </w:rPr>
            </w:pPr>
          </w:p>
        </w:tc>
        <w:tc>
          <w:tcPr>
            <w:tcW w:w="2120" w:type="dxa"/>
            <w:tcBorders>
              <w:top w:val="single" w:color="000000" w:sz="4" w:space="0"/>
              <w:left w:val="single" w:color="auto" w:sz="4" w:space="0"/>
              <w:bottom w:val="single" w:color="000000" w:sz="4" w:space="0"/>
              <w:right w:val="single" w:color="000000" w:sz="4" w:space="0"/>
            </w:tcBorders>
          </w:tcPr>
          <w:p>
            <w:pPr>
              <w:spacing w:line="440" w:lineRule="exact"/>
              <w:rPr>
                <w:rFonts w:ascii="宋体" w:hAnsi="宋体" w:cs="宋体"/>
                <w:color w:val="auto"/>
                <w:highlight w:val="none"/>
              </w:rPr>
            </w:pPr>
          </w:p>
        </w:tc>
        <w:tc>
          <w:tcPr>
            <w:tcW w:w="2978" w:type="dxa"/>
            <w:tcBorders>
              <w:top w:val="single" w:color="000000" w:sz="4" w:space="0"/>
              <w:left w:val="single" w:color="000000" w:sz="4" w:space="0"/>
              <w:bottom w:val="single" w:color="000000" w:sz="4" w:space="0"/>
              <w:right w:val="single" w:color="000000" w:sz="4" w:space="0"/>
            </w:tcBorders>
          </w:tcPr>
          <w:p>
            <w:pPr>
              <w:spacing w:line="440" w:lineRule="exact"/>
              <w:rPr>
                <w:rFonts w:ascii="宋体" w:hAnsi="宋体" w:cs="宋体"/>
                <w:color w:val="auto"/>
                <w:highlight w:val="none"/>
              </w:rPr>
            </w:pPr>
          </w:p>
        </w:tc>
      </w:tr>
    </w:tbl>
    <w:p>
      <w:pPr>
        <w:snapToGrid w:val="0"/>
        <w:spacing w:before="50" w:line="440" w:lineRule="exact"/>
        <w:jc w:val="left"/>
        <w:rPr>
          <w:rFonts w:ascii="宋体" w:hAnsi="宋体" w:cs="宋体"/>
          <w:color w:val="auto"/>
          <w:szCs w:val="21"/>
          <w:highlight w:val="none"/>
        </w:rPr>
      </w:pP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注：</w:t>
      </w: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1.说明：应对照磋商文件“第三章”中“项目采购需求”的采购清单及技术参数条款逐条作出明确响应，并作出偏离说明。</w:t>
      </w:r>
    </w:p>
    <w:p>
      <w:pPr>
        <w:autoSpaceDE w:val="0"/>
        <w:autoSpaceDN w:val="0"/>
        <w:adjustRightInd w:val="0"/>
        <w:spacing w:line="44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2.供应商应根据自身的承诺，对照磋商文件要求，在“偏离说明”中注明“正偏离”、“负偏离”或者“无偏离”。既不属于“正偏离”也不属于“负偏离”即为“无偏离”。当响应文件的商务内容低于竞争性磋商采购文件要求时，供应商应当如实写明“负偏离”，否则视为虚假应标。</w:t>
      </w:r>
    </w:p>
    <w:p>
      <w:pPr>
        <w:spacing w:line="440" w:lineRule="exact"/>
        <w:ind w:firstLine="6090" w:firstLineChars="29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napToGrid w:val="0"/>
        <w:spacing w:before="50" w:line="440" w:lineRule="exact"/>
        <w:jc w:val="left"/>
        <w:rPr>
          <w:rFonts w:ascii="宋体" w:hAnsi="宋体" w:cs="宋体"/>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五、拟投入人员汇总表格式</w:t>
      </w:r>
    </w:p>
    <w:p>
      <w:pPr>
        <w:spacing w:line="440" w:lineRule="exact"/>
        <w:jc w:val="center"/>
        <w:rPr>
          <w:rFonts w:ascii="宋体" w:hAnsi="宋体" w:cs="宋体"/>
          <w:b/>
          <w:bCs/>
          <w:color w:val="auto"/>
          <w:kern w:val="0"/>
          <w:sz w:val="30"/>
          <w:highlight w:val="none"/>
        </w:rPr>
      </w:pPr>
    </w:p>
    <w:p>
      <w:pPr>
        <w:spacing w:line="440" w:lineRule="exact"/>
        <w:jc w:val="center"/>
        <w:rPr>
          <w:rFonts w:ascii="宋体" w:hAnsi="宋体" w:cs="宋体"/>
          <w:color w:val="auto"/>
          <w:szCs w:val="21"/>
          <w:highlight w:val="none"/>
        </w:rPr>
      </w:pPr>
      <w:r>
        <w:rPr>
          <w:rFonts w:hint="eastAsia" w:ascii="宋体" w:hAnsi="宋体" w:cs="宋体"/>
          <w:b/>
          <w:bCs/>
          <w:color w:val="auto"/>
          <w:kern w:val="0"/>
          <w:sz w:val="30"/>
          <w:highlight w:val="none"/>
        </w:rPr>
        <w:t>拟投入人员汇总表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45"/>
        <w:gridCol w:w="1778"/>
        <w:gridCol w:w="2278"/>
        <w:gridCol w:w="227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45"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177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本项目担任角色</w:t>
            </w:r>
          </w:p>
        </w:tc>
        <w:tc>
          <w:tcPr>
            <w:tcW w:w="2278"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职称资格名称</w:t>
            </w:r>
          </w:p>
        </w:tc>
        <w:tc>
          <w:tcPr>
            <w:tcW w:w="2278" w:type="dxa"/>
          </w:tcPr>
          <w:p>
            <w:pPr>
              <w:spacing w:line="440" w:lineRule="exact"/>
              <w:jc w:val="center"/>
              <w:rPr>
                <w:rFonts w:ascii="宋体" w:hAnsi="宋体" w:cs="宋体"/>
                <w:color w:val="auto"/>
                <w:szCs w:val="21"/>
                <w:highlight w:val="none"/>
              </w:rPr>
            </w:pPr>
            <w:r>
              <w:rPr>
                <w:rFonts w:hint="eastAsia" w:ascii="宋体" w:hAnsi="宋体" w:cs="宋体"/>
                <w:bCs/>
                <w:color w:val="auto"/>
                <w:highlight w:val="none"/>
              </w:rPr>
              <w:t>专业</w:t>
            </w:r>
          </w:p>
        </w:tc>
        <w:tc>
          <w:tcPr>
            <w:tcW w:w="900" w:type="dxa"/>
          </w:tcPr>
          <w:p>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5" w:type="dxa"/>
          </w:tcPr>
          <w:p>
            <w:pPr>
              <w:spacing w:line="440" w:lineRule="exact"/>
              <w:rPr>
                <w:rFonts w:ascii="宋体" w:hAnsi="宋体" w:cs="宋体"/>
                <w:color w:val="auto"/>
                <w:szCs w:val="21"/>
                <w:highlight w:val="none"/>
              </w:rPr>
            </w:pPr>
            <w:r>
              <w:rPr>
                <w:rFonts w:hint="eastAsia" w:ascii="宋体" w:hAnsi="宋体" w:cs="宋体"/>
                <w:color w:val="auto"/>
                <w:szCs w:val="21"/>
                <w:highlight w:val="none"/>
              </w:rPr>
              <w:t>1</w:t>
            </w: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r>
              <w:rPr>
                <w:rFonts w:hint="eastAsia" w:ascii="宋体" w:hAnsi="宋体" w:cs="宋体"/>
                <w:color w:val="auto"/>
                <w:szCs w:val="21"/>
                <w:highlight w:val="none"/>
              </w:rPr>
              <w:t>2</w:t>
            </w: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95" w:type="dxa"/>
          </w:tcPr>
          <w:p>
            <w:pPr>
              <w:spacing w:line="440" w:lineRule="exact"/>
              <w:rPr>
                <w:rFonts w:ascii="宋体" w:hAnsi="宋体" w:cs="宋体"/>
                <w:color w:val="auto"/>
                <w:szCs w:val="21"/>
                <w:highlight w:val="none"/>
              </w:rPr>
            </w:pPr>
          </w:p>
        </w:tc>
        <w:tc>
          <w:tcPr>
            <w:tcW w:w="1645" w:type="dxa"/>
          </w:tcPr>
          <w:p>
            <w:pPr>
              <w:spacing w:line="440" w:lineRule="exact"/>
              <w:rPr>
                <w:rFonts w:ascii="宋体" w:hAnsi="宋体" w:cs="宋体"/>
                <w:color w:val="auto"/>
                <w:szCs w:val="21"/>
                <w:highlight w:val="none"/>
              </w:rPr>
            </w:pPr>
          </w:p>
        </w:tc>
        <w:tc>
          <w:tcPr>
            <w:tcW w:w="17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2278" w:type="dxa"/>
          </w:tcPr>
          <w:p>
            <w:pPr>
              <w:spacing w:line="440" w:lineRule="exact"/>
              <w:rPr>
                <w:rFonts w:ascii="宋体" w:hAnsi="宋体" w:cs="宋体"/>
                <w:color w:val="auto"/>
                <w:szCs w:val="21"/>
                <w:highlight w:val="none"/>
              </w:rPr>
            </w:pPr>
          </w:p>
        </w:tc>
        <w:tc>
          <w:tcPr>
            <w:tcW w:w="900" w:type="dxa"/>
          </w:tcPr>
          <w:p>
            <w:pPr>
              <w:spacing w:line="440" w:lineRule="exact"/>
              <w:rPr>
                <w:rFonts w:ascii="宋体" w:hAnsi="宋体" w:cs="宋体"/>
                <w:color w:val="auto"/>
                <w:szCs w:val="21"/>
                <w:highlight w:val="none"/>
              </w:rPr>
            </w:pPr>
          </w:p>
        </w:tc>
      </w:tr>
    </w:tbl>
    <w:p>
      <w:pPr>
        <w:spacing w:line="440" w:lineRule="exact"/>
        <w:ind w:firstLine="422" w:firstLineChars="200"/>
        <w:jc w:val="left"/>
        <w:rPr>
          <w:rFonts w:ascii="宋体" w:hAnsi="宋体" w:cs="宋体"/>
          <w:b/>
          <w:bCs/>
          <w:color w:val="auto"/>
          <w:highlight w:val="none"/>
        </w:rPr>
      </w:pPr>
      <w:r>
        <w:rPr>
          <w:rFonts w:hint="eastAsia" w:ascii="宋体" w:hAnsi="宋体" w:cs="宋体"/>
          <w:b/>
          <w:bCs/>
          <w:color w:val="auto"/>
          <w:highlight w:val="none"/>
        </w:rPr>
        <w:t>注：附拟投入人员职称资格证书的复印件并加盖单位公章。</w:t>
      </w: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before="50" w:line="440" w:lineRule="exact"/>
        <w:jc w:val="left"/>
        <w:rPr>
          <w:rFonts w:ascii="宋体" w:hAnsi="宋体" w:cs="宋体"/>
          <w:b/>
          <w:color w:val="auto"/>
          <w:szCs w:val="21"/>
          <w:highlight w:val="none"/>
        </w:rPr>
      </w:pPr>
      <w:r>
        <w:rPr>
          <w:rFonts w:hint="eastAsia" w:ascii="宋体" w:hAnsi="宋体" w:cs="宋体"/>
          <w:b/>
          <w:color w:val="auto"/>
          <w:sz w:val="24"/>
          <w:highlight w:val="none"/>
        </w:rPr>
        <w:br w:type="page"/>
      </w:r>
      <w:r>
        <w:rPr>
          <w:rFonts w:hint="eastAsia" w:ascii="宋体" w:hAnsi="宋体" w:cs="宋体"/>
          <w:b/>
          <w:color w:val="auto"/>
          <w:szCs w:val="21"/>
          <w:highlight w:val="none"/>
        </w:rPr>
        <w:t>六、服务承诺书</w:t>
      </w:r>
    </w:p>
    <w:p>
      <w:pPr>
        <w:pStyle w:val="23"/>
        <w:spacing w:line="440" w:lineRule="exact"/>
        <w:jc w:val="center"/>
        <w:rPr>
          <w:rFonts w:hAnsi="宋体" w:cs="宋体"/>
          <w:color w:val="auto"/>
          <w:sz w:val="32"/>
          <w:szCs w:val="32"/>
          <w:highlight w:val="none"/>
        </w:rPr>
      </w:pPr>
    </w:p>
    <w:p>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服务承诺书</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 xml:space="preserve">第1条 </w:t>
      </w:r>
      <w:r>
        <w:rPr>
          <w:rFonts w:hint="eastAsia" w:hAnsi="宋体" w:cs="宋体"/>
          <w:b/>
          <w:color w:val="auto"/>
          <w:sz w:val="21"/>
          <w:highlight w:val="none"/>
        </w:rPr>
        <w:t>对合同条款、付款方式全部予以响应。</w:t>
      </w:r>
    </w:p>
    <w:p>
      <w:pPr>
        <w:pStyle w:val="23"/>
        <w:spacing w:line="440" w:lineRule="exact"/>
        <w:ind w:firstLine="420" w:firstLineChars="200"/>
        <w:rPr>
          <w:rFonts w:hAnsi="宋体" w:cs="宋体"/>
          <w:color w:val="auto"/>
          <w:sz w:val="21"/>
          <w:highlight w:val="none"/>
        </w:rPr>
      </w:pPr>
      <w:r>
        <w:rPr>
          <w:rFonts w:hint="eastAsia" w:hAnsi="宋体" w:cs="宋体"/>
          <w:color w:val="auto"/>
          <w:sz w:val="21"/>
          <w:highlight w:val="none"/>
        </w:rPr>
        <w:t>第2条 （由供应商按《项目采购需求》要求自行填写，所作的承诺作为构成合同不可分割的部分，必须真实、诚信，如提供虚假承诺或在成交、成交后不按其承诺履行的，将依法追究违约责任，并按《中华人民共和国政府采购法》规定予以处罚。）</w:t>
      </w:r>
    </w:p>
    <w:p>
      <w:pPr>
        <w:pStyle w:val="23"/>
        <w:spacing w:line="440" w:lineRule="exact"/>
        <w:ind w:firstLine="420" w:firstLineChars="200"/>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r>
        <w:rPr>
          <w:rFonts w:hint="eastAsia" w:hAnsi="宋体" w:cs="宋体"/>
          <w:color w:val="auto"/>
          <w:sz w:val="21"/>
          <w:highlight w:val="none"/>
        </w:rPr>
        <w:t>备注：以上为服务承诺格式，第1条为供应商必须列明，其余条款供应商可根据实际情况一一列明。</w:t>
      </w: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spacing w:line="440" w:lineRule="exact"/>
        <w:ind w:firstLine="6090" w:firstLineChars="2900"/>
        <w:jc w:val="right"/>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jc w:val="right"/>
        <w:rPr>
          <w:rFonts w:ascii="宋体" w:hAnsi="宋体" w:cs="宋体"/>
          <w:color w:val="auto"/>
          <w:szCs w:val="21"/>
          <w:highlight w:val="none"/>
        </w:rPr>
      </w:pPr>
      <w:r>
        <w:rPr>
          <w:rFonts w:hint="eastAsia" w:ascii="宋体" w:hAnsi="宋体" w:cs="宋体"/>
          <w:color w:val="auto"/>
          <w:szCs w:val="21"/>
          <w:highlight w:val="none"/>
        </w:rPr>
        <w:t>日期： 年 月 日</w:t>
      </w: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Ansi="宋体" w:cs="宋体"/>
          <w:b/>
          <w:color w:val="auto"/>
          <w:highlight w:val="none"/>
        </w:rPr>
      </w:pPr>
    </w:p>
    <w:p>
      <w:pPr>
        <w:pStyle w:val="23"/>
        <w:spacing w:line="440" w:lineRule="exact"/>
        <w:jc w:val="left"/>
        <w:rPr>
          <w:rFonts w:hint="eastAsia" w:hAnsi="宋体" w:cs="宋体"/>
          <w:b/>
          <w:color w:val="auto"/>
          <w:sz w:val="21"/>
          <w:highlight w:val="none"/>
          <w:lang w:val="en-US" w:eastAsia="zh-CN"/>
        </w:rPr>
        <w:sectPr>
          <w:pgSz w:w="11906" w:h="16838"/>
          <w:pgMar w:top="1134" w:right="1247" w:bottom="1134" w:left="1247" w:header="851" w:footer="992" w:gutter="0"/>
          <w:cols w:space="720" w:num="1"/>
          <w:docGrid w:linePitch="312" w:charSpace="0"/>
        </w:sectPr>
      </w:pPr>
    </w:p>
    <w:p>
      <w:pPr>
        <w:pStyle w:val="23"/>
        <w:numPr>
          <w:ilvl w:val="0"/>
          <w:numId w:val="1"/>
        </w:numPr>
        <w:spacing w:line="440" w:lineRule="exact"/>
        <w:jc w:val="left"/>
        <w:rPr>
          <w:rFonts w:hint="eastAsia" w:hAnsi="宋体" w:cs="宋体"/>
          <w:b/>
          <w:color w:val="auto"/>
          <w:sz w:val="21"/>
          <w:highlight w:val="none"/>
          <w:lang w:val="en-US" w:eastAsia="zh-CN"/>
        </w:rPr>
      </w:pPr>
      <w:r>
        <w:rPr>
          <w:rFonts w:hint="eastAsia" w:hAnsi="宋体" w:cs="宋体"/>
          <w:b/>
          <w:color w:val="auto"/>
          <w:sz w:val="21"/>
          <w:highlight w:val="none"/>
          <w:lang w:val="en-US" w:eastAsia="zh-CN"/>
        </w:rPr>
        <w:t>磋商保证金缴纳证明材料复印件</w:t>
      </w:r>
    </w:p>
    <w:p>
      <w:pPr>
        <w:pStyle w:val="23"/>
        <w:spacing w:line="440" w:lineRule="exact"/>
        <w:jc w:val="center"/>
        <w:rPr>
          <w:rFonts w:hint="eastAsia" w:hAnsi="宋体" w:cs="宋体"/>
          <w:color w:val="auto"/>
          <w:sz w:val="32"/>
          <w:szCs w:val="32"/>
          <w:highlight w:val="none"/>
        </w:rPr>
      </w:pPr>
    </w:p>
    <w:p>
      <w:pPr>
        <w:pStyle w:val="23"/>
        <w:spacing w:line="440" w:lineRule="exact"/>
        <w:jc w:val="center"/>
        <w:rPr>
          <w:rFonts w:hint="eastAsia" w:hAnsi="宋体" w:cs="宋体"/>
          <w:color w:val="auto"/>
          <w:sz w:val="32"/>
          <w:szCs w:val="32"/>
          <w:highlight w:val="none"/>
        </w:rPr>
      </w:pPr>
      <w:r>
        <w:rPr>
          <w:rFonts w:hint="eastAsia" w:hAnsi="宋体" w:cs="宋体"/>
          <w:color w:val="auto"/>
          <w:sz w:val="32"/>
          <w:szCs w:val="32"/>
          <w:highlight w:val="none"/>
        </w:rPr>
        <w:t>保证金证明（格式）</w:t>
      </w:r>
    </w:p>
    <w:p>
      <w:pPr>
        <w:spacing w:line="360" w:lineRule="exact"/>
        <w:ind w:firstLine="420" w:firstLineChars="200"/>
        <w:rPr>
          <w:rFonts w:ascii="宋体" w:hAnsi="宋体"/>
          <w:color w:val="auto"/>
          <w:highlight w:val="none"/>
        </w:rPr>
      </w:pPr>
    </w:p>
    <w:p>
      <w:pPr>
        <w:pStyle w:val="23"/>
        <w:spacing w:line="360" w:lineRule="exact"/>
        <w:rPr>
          <w:rFonts w:hAnsi="宋体"/>
          <w:color w:val="auto"/>
          <w:highlight w:val="none"/>
        </w:rPr>
      </w:pPr>
      <w:r>
        <w:rPr>
          <w:rFonts w:hint="eastAsia" w:hAnsi="宋体"/>
          <w:color w:val="auto"/>
          <w:highlight w:val="none"/>
        </w:rPr>
        <w:t xml:space="preserve">                                                                                                                                                                                        </w:t>
      </w:r>
    </w:p>
    <w:p>
      <w:pPr>
        <w:pStyle w:val="23"/>
        <w:spacing w:line="360" w:lineRule="exact"/>
        <w:rPr>
          <w:rFonts w:hAnsi="宋体"/>
          <w:color w:val="auto"/>
          <w:highlight w:val="none"/>
        </w:rPr>
      </w:pPr>
      <w:r>
        <w:rPr>
          <w:rFonts w:hint="eastAsia" w:hAnsi="宋体"/>
          <w:color w:val="auto"/>
          <w:highlight w:val="none"/>
        </w:rPr>
        <w:t xml:space="preserve">  </w:t>
      </w:r>
    </w:p>
    <w:p>
      <w:pPr>
        <w:pStyle w:val="23"/>
        <w:spacing w:line="360" w:lineRule="exact"/>
        <w:rPr>
          <w:rFonts w:hAnsi="宋体"/>
          <w:color w:val="auto"/>
          <w:highlight w:val="none"/>
        </w:rPr>
      </w:pPr>
      <w:r>
        <w:rPr>
          <w:rFonts w:hAnsi="宋体"/>
          <w:color w:val="auto"/>
          <w:sz w:val="20"/>
          <w:highlight w:val="none"/>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76200</wp:posOffset>
                </wp:positionV>
                <wp:extent cx="6120130" cy="2879725"/>
                <wp:effectExtent l="4445" t="4445" r="9525" b="11430"/>
                <wp:wrapNone/>
                <wp:docPr id="3" name="Rectangle 44"/>
                <wp:cNvGraphicFramePr/>
                <a:graphic xmlns:a="http://schemas.openxmlformats.org/drawingml/2006/main">
                  <a:graphicData uri="http://schemas.microsoft.com/office/word/2010/wordprocessingShape">
                    <wps:wsp>
                      <wps:cNvSpPr/>
                      <wps:spPr>
                        <a:xfrm>
                          <a:off x="0" y="0"/>
                          <a:ext cx="6120130" cy="287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pPr>
                          </w:p>
                          <w:p>
                            <w:pPr>
                              <w:jc w:val="center"/>
                              <w:rPr>
                                <w:rFonts w:hint="eastAsia" w:hAnsi="宋体"/>
                              </w:rPr>
                            </w:pPr>
                            <w:r>
                              <w:rPr>
                                <w:rFonts w:hint="eastAsia" w:hAnsi="宋体"/>
                              </w:rPr>
                              <w:t>转账底单、电汇单、支票、汇票、本票或银行、保险机构出具的保函复印件</w:t>
                            </w:r>
                          </w:p>
                          <w:p>
                            <w:pPr>
                              <w:pStyle w:val="2"/>
                            </w:pPr>
                          </w:p>
                        </w:txbxContent>
                      </wps:txbx>
                      <wps:bodyPr upright="1"/>
                    </wps:wsp>
                  </a:graphicData>
                </a:graphic>
              </wp:anchor>
            </w:drawing>
          </mc:Choice>
          <mc:Fallback>
            <w:pict>
              <v:rect id="Rectangle 44" o:spid="_x0000_s1026" o:spt="1" style="position:absolute;left:0pt;margin-left:0pt;margin-top:6pt;height:226.75pt;width:481.9pt;z-index:251673600;mso-width-relative:page;mso-height-relative:page;" fillcolor="#FFFFFF" filled="t" stroked="t" coordsize="21600,21600" o:gfxdata="UEsDBAoAAAAAAIdO4kAAAAAAAAAAAAAAAAAEAAAAZHJzL1BLAwQUAAAACACHTuJArASdndYAAAAH&#10;AQAADwAAAGRycy9kb3ducmV2LnhtbE2PMU/DMBCFdyT+g3VIbNRuSiOaxukAKhJjmy5sTnwkKfE5&#10;ip028Os5JphOd+/p3ffy3ex6ccExdJ40LBcKBFLtbUeNhlO5f3gCEaIha3pPqOELA+yK25vcZNZf&#10;6YCXY2wEh1DIjIY2xiGTMtQtOhMWfkBi7cOPzkRex0ba0Vw53PUyUSqVznTEH1oz4HOL9edxchqq&#10;LjmZ70P5qtxmv4pvc3me3l+0vr9bqi2IiHP8M8MvPqNDwUyVn8gG0WvgIpGvCU9WN+mKi1QaHtP1&#10;GmSRy//8xQ9QSwMEFAAAAAgAh07iQLpK86z1AQAALgQAAA4AAABkcnMvZTJvRG9jLnhtbK1TyY7b&#10;MAy9F+g/CLo3TjK7EWcOTdNL0Q467QcwkmwL0AZRiZ2/LyVn1vaQQ32QSYl65HukVvejNeygImrv&#10;Gr6YzTlTTnipXdfw37+2n245wwROgvFONfyokN+vP35YDaFWS997I1VkBOKwHkLD+5RCXVUoemUB&#10;Zz4oR4etjxYSubGrZISB0K2plvP5dTX4KEP0QiHS7mY65CfEeA6gb1st1MaLvVUuTahRGUhECXsd&#10;kK9LtW2rRPrRtqgSMw0npqmslITsXV6r9QrqLkLotTiVAOeU8I6TBe0o6TPUBhKwfdR/QVktokff&#10;ppnwtpqIFEWIxWL+TpvHHoIqXEhqDM+i4/+DFd8PD5Fp2fALzhxYavhPEg1cZxS7vMz6DAFrCnsM&#10;D/HkIZmZ7NhGm/9Eg41F0+OzpmpMTNDm9YKIXZDcgs6Wtzd3N8urjFq9XA8R01flLctGwyPlL1rC&#10;4RumKfQpJGdDb7TcamOKE7vdZxPZAajB2/Kd0N+EGceGht9dUW4mgKa2pWkh0wZijq4r+d7cwNfA&#10;8/L9CzgXtgHspwIKQg6D2uqkYrF6BfKLkywdA6nr6FHxXIxVkjOj6A1mq0Qm0OacSNLOOJIwd2bq&#10;RbbSuBsJJps7L4/U1n2IuutJ0kUpPZ/QGBXtTyOf5/S1X0Bfnv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wEnZ3WAAAABwEAAA8AAAAAAAAAAQAgAAAAIgAAAGRycy9kb3ducmV2LnhtbFBLAQIU&#10;ABQAAAAIAIdO4kC6SvOs9QEAAC4EAAAOAAAAAAAAAAEAIAAAACUBAABkcnMvZTJvRG9jLnhtbFBL&#10;BQYAAAAABgAGAFkBAACMBQAAAAA=&#10;">
                <v:fill on="t" focussize="0,0"/>
                <v:stroke color="#000000" joinstyle="miter"/>
                <v:imagedata o:title=""/>
                <o:lock v:ext="edit" aspectratio="f"/>
                <v:textbox>
                  <w:txbxContent>
                    <w:p>
                      <w:pPr>
                        <w:jc w:val="center"/>
                        <w:rPr>
                          <w:color w:val="000000"/>
                        </w:rPr>
                      </w:pPr>
                    </w:p>
                    <w:p>
                      <w:pPr>
                        <w:jc w:val="center"/>
                        <w:rPr>
                          <w:color w:val="000000"/>
                        </w:rPr>
                      </w:pPr>
                    </w:p>
                    <w:p>
                      <w:pPr>
                        <w:jc w:val="center"/>
                        <w:rPr>
                          <w:color w:val="000000"/>
                        </w:rPr>
                      </w:pPr>
                    </w:p>
                    <w:p>
                      <w:pPr>
                        <w:jc w:val="center"/>
                        <w:rPr>
                          <w:color w:val="000000"/>
                        </w:rPr>
                      </w:pPr>
                    </w:p>
                    <w:p>
                      <w:pPr>
                        <w:jc w:val="center"/>
                        <w:rPr>
                          <w:color w:val="000000"/>
                        </w:rPr>
                      </w:pPr>
                    </w:p>
                    <w:p>
                      <w:pPr>
                        <w:jc w:val="center"/>
                      </w:pPr>
                    </w:p>
                    <w:p>
                      <w:pPr>
                        <w:jc w:val="center"/>
                        <w:rPr>
                          <w:rFonts w:hint="eastAsia" w:hAnsi="宋体"/>
                        </w:rPr>
                      </w:pPr>
                      <w:r>
                        <w:rPr>
                          <w:rFonts w:hint="eastAsia" w:hAnsi="宋体"/>
                        </w:rPr>
                        <w:t>转账底单、电汇单、支票、汇票、本票或银行、保险机构出具的保函复印件</w:t>
                      </w:r>
                    </w:p>
                    <w:p>
                      <w:pPr>
                        <w:pStyle w:val="2"/>
                      </w:pPr>
                    </w:p>
                  </w:txbxContent>
                </v:textbox>
              </v:rect>
            </w:pict>
          </mc:Fallback>
        </mc:AlternateContent>
      </w:r>
    </w:p>
    <w:p>
      <w:pPr>
        <w:pStyle w:val="23"/>
        <w:spacing w:line="360" w:lineRule="exact"/>
        <w:rPr>
          <w:rFonts w:hAnsi="宋体"/>
          <w:color w:val="auto"/>
          <w:highlight w:val="none"/>
        </w:rPr>
      </w:pPr>
    </w:p>
    <w:p>
      <w:pPr>
        <w:pStyle w:val="23"/>
        <w:spacing w:line="360" w:lineRule="exact"/>
        <w:rPr>
          <w:rFonts w:hAnsi="宋体"/>
          <w:color w:val="auto"/>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rPr>
          <w:rFonts w:hAnsi="宋体"/>
          <w:color w:val="auto"/>
          <w:sz w:val="44"/>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pStyle w:val="23"/>
        <w:spacing w:line="360" w:lineRule="exact"/>
        <w:ind w:firstLine="4600" w:firstLineChars="2300"/>
        <w:rPr>
          <w:rFonts w:hAnsi="宋体"/>
          <w:color w:val="auto"/>
          <w:highlight w:val="none"/>
        </w:rPr>
      </w:pPr>
    </w:p>
    <w:p>
      <w:pPr>
        <w:spacing w:line="360" w:lineRule="exact"/>
        <w:ind w:firstLine="6090" w:firstLineChars="2900"/>
        <w:rPr>
          <w:rFonts w:ascii="宋体" w:hAnsi="宋体"/>
          <w:color w:val="auto"/>
          <w:szCs w:val="21"/>
          <w:highlight w:val="none"/>
        </w:rPr>
      </w:pPr>
      <w:r>
        <w:rPr>
          <w:rFonts w:hint="eastAsia" w:ascii="宋体" w:hAnsi="宋体" w:cs="宋体"/>
          <w:color w:val="auto"/>
          <w:szCs w:val="21"/>
          <w:highlight w:val="none"/>
        </w:rPr>
        <w:t>供应商名称(电子签章)</w:t>
      </w:r>
      <w:r>
        <w:rPr>
          <w:rFonts w:hint="eastAsia" w:ascii="宋体" w:hAnsi="宋体"/>
          <w:color w:val="auto"/>
          <w:szCs w:val="21"/>
          <w:highlight w:val="none"/>
        </w:rPr>
        <w:t>：</w:t>
      </w:r>
    </w:p>
    <w:p>
      <w:pPr>
        <w:spacing w:line="360" w:lineRule="exact"/>
        <w:ind w:firstLine="6090" w:firstLineChars="2900"/>
        <w:rPr>
          <w:rFonts w:hint="eastAsia" w:ascii="宋体" w:hAnsi="宋体"/>
          <w:color w:val="auto"/>
          <w:szCs w:val="21"/>
          <w:highlight w:val="none"/>
          <w:lang w:val="en-US" w:eastAsia="zh-CN"/>
        </w:rPr>
        <w:sectPr>
          <w:pgSz w:w="11906" w:h="16838"/>
          <w:pgMar w:top="1134" w:right="1247" w:bottom="1134" w:left="1247" w:header="851" w:footer="992" w:gutter="0"/>
          <w:cols w:space="720" w:num="1"/>
          <w:docGrid w:linePitch="312" w:charSpace="0"/>
        </w:sectPr>
      </w:pPr>
      <w:r>
        <w:rPr>
          <w:rFonts w:hint="eastAsia" w:ascii="宋体" w:hAnsi="宋体"/>
          <w:color w:val="auto"/>
          <w:szCs w:val="21"/>
          <w:highlight w:val="none"/>
        </w:rPr>
        <w:t>日期： 年 月 日</w:t>
      </w:r>
    </w:p>
    <w:p>
      <w:pPr>
        <w:pStyle w:val="23"/>
        <w:spacing w:line="440" w:lineRule="exact"/>
        <w:jc w:val="left"/>
        <w:rPr>
          <w:rFonts w:hAnsi="宋体" w:cs="宋体"/>
          <w:b/>
          <w:color w:val="auto"/>
          <w:sz w:val="21"/>
          <w:highlight w:val="none"/>
        </w:rPr>
      </w:pPr>
      <w:r>
        <w:rPr>
          <w:rFonts w:hint="eastAsia" w:hAnsi="宋体" w:cs="宋体"/>
          <w:b/>
          <w:color w:val="auto"/>
          <w:sz w:val="21"/>
          <w:highlight w:val="none"/>
          <w:lang w:val="en-US" w:eastAsia="zh-CN"/>
        </w:rPr>
        <w:t>八</w:t>
      </w:r>
      <w:r>
        <w:rPr>
          <w:rFonts w:hint="eastAsia" w:hAnsi="宋体" w:cs="宋体"/>
          <w:b/>
          <w:color w:val="auto"/>
          <w:sz w:val="21"/>
          <w:highlight w:val="none"/>
        </w:rPr>
        <w:t>、实施方案</w:t>
      </w:r>
    </w:p>
    <w:p>
      <w:pPr>
        <w:pStyle w:val="23"/>
        <w:spacing w:line="440" w:lineRule="exact"/>
        <w:jc w:val="center"/>
        <w:rPr>
          <w:rFonts w:hAnsi="宋体" w:cs="宋体"/>
          <w:color w:val="auto"/>
          <w:sz w:val="32"/>
          <w:szCs w:val="32"/>
          <w:highlight w:val="none"/>
        </w:rPr>
      </w:pPr>
    </w:p>
    <w:p>
      <w:pPr>
        <w:pStyle w:val="23"/>
        <w:spacing w:line="440" w:lineRule="exact"/>
        <w:jc w:val="center"/>
        <w:rPr>
          <w:rFonts w:hAnsi="宋体" w:cs="宋体"/>
          <w:color w:val="auto"/>
          <w:sz w:val="32"/>
          <w:szCs w:val="32"/>
          <w:highlight w:val="none"/>
        </w:rPr>
      </w:pPr>
      <w:r>
        <w:rPr>
          <w:rFonts w:hint="eastAsia" w:hAnsi="宋体" w:cs="宋体"/>
          <w:color w:val="auto"/>
          <w:sz w:val="32"/>
          <w:szCs w:val="32"/>
          <w:highlight w:val="none"/>
        </w:rPr>
        <w:t>实施方案</w:t>
      </w: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pStyle w:val="23"/>
        <w:spacing w:line="440" w:lineRule="exact"/>
        <w:rPr>
          <w:rFonts w:hAnsi="宋体" w:cs="宋体"/>
          <w:color w:val="auto"/>
          <w:sz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rPr>
          <w:rFonts w:ascii="宋体" w:hAnsi="宋体" w:cs="宋体"/>
          <w:color w:val="auto"/>
          <w:szCs w:val="21"/>
          <w:highlight w:val="none"/>
        </w:rPr>
      </w:pPr>
    </w:p>
    <w:p>
      <w:pPr>
        <w:snapToGrid w:val="0"/>
        <w:spacing w:before="50" w:line="440" w:lineRule="exact"/>
        <w:jc w:val="left"/>
        <w:rPr>
          <w:rFonts w:ascii="宋体" w:hAnsi="宋体" w:cs="宋体"/>
          <w:b/>
          <w:color w:val="auto"/>
          <w:szCs w:val="21"/>
          <w:highlight w:val="none"/>
        </w:rPr>
      </w:pPr>
    </w:p>
    <w:p>
      <w:pPr>
        <w:snapToGrid w:val="0"/>
        <w:spacing w:before="50" w:line="440" w:lineRule="exact"/>
        <w:jc w:val="left"/>
        <w:rPr>
          <w:rFonts w:ascii="宋体" w:hAnsi="宋体" w:cs="宋体"/>
          <w:b/>
          <w:color w:val="auto"/>
          <w:szCs w:val="21"/>
          <w:highlight w:val="none"/>
        </w:rPr>
        <w:sectPr>
          <w:pgSz w:w="11906" w:h="16838"/>
          <w:pgMar w:top="1134" w:right="1247" w:bottom="1134" w:left="1247" w:header="851" w:footer="992" w:gutter="0"/>
          <w:cols w:space="720" w:num="1"/>
          <w:docGrid w:linePitch="312" w:charSpace="0"/>
        </w:sectPr>
      </w:pPr>
    </w:p>
    <w:p>
      <w:pPr>
        <w:snapToGrid w:val="0"/>
        <w:spacing w:before="50" w:line="440" w:lineRule="exact"/>
        <w:jc w:val="left"/>
        <w:rPr>
          <w:rFonts w:ascii="宋体" w:hAnsi="宋体" w:cs="宋体"/>
          <w:b/>
          <w:color w:val="auto"/>
          <w:szCs w:val="21"/>
          <w:highlight w:val="none"/>
        </w:rPr>
      </w:pPr>
      <w:r>
        <w:rPr>
          <w:rFonts w:hint="eastAsia" w:ascii="宋体" w:hAnsi="宋体" w:cs="宋体"/>
          <w:b/>
          <w:color w:val="auto"/>
          <w:szCs w:val="21"/>
          <w:highlight w:val="none"/>
          <w:lang w:val="en-US" w:eastAsia="zh-CN"/>
        </w:rPr>
        <w:t>九</w:t>
      </w:r>
      <w:r>
        <w:rPr>
          <w:rFonts w:hint="eastAsia" w:ascii="宋体" w:hAnsi="宋体" w:cs="宋体"/>
          <w:b/>
          <w:color w:val="auto"/>
          <w:szCs w:val="21"/>
          <w:highlight w:val="none"/>
        </w:rPr>
        <w:t>、供应商同类项目业绩证明</w:t>
      </w:r>
    </w:p>
    <w:p>
      <w:pPr>
        <w:pStyle w:val="30"/>
        <w:snapToGrid w:val="0"/>
        <w:spacing w:line="440" w:lineRule="exact"/>
        <w:ind w:left="0"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供应商同类项目业绩一览表（供应商同类项目合同或中标/成交通知书复印件、用户验收报告、用户评价意见格式自拟）</w:t>
      </w:r>
    </w:p>
    <w:tbl>
      <w:tblPr>
        <w:tblStyle w:val="41"/>
        <w:tblW w:w="898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2"/>
        <w:gridCol w:w="1277"/>
        <w:gridCol w:w="1081"/>
        <w:gridCol w:w="1080"/>
        <w:gridCol w:w="958"/>
        <w:gridCol w:w="1087"/>
        <w:gridCol w:w="540"/>
        <w:gridCol w:w="533"/>
        <w:gridCol w:w="13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10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采购单位名称</w:t>
            </w:r>
          </w:p>
        </w:tc>
        <w:tc>
          <w:tcPr>
            <w:tcW w:w="127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108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szCs w:val="21"/>
              </w:rPr>
              <w:t>单价</w:t>
            </w:r>
          </w:p>
        </w:tc>
        <w:tc>
          <w:tcPr>
            <w:tcW w:w="95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金额</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附件页码</w:t>
            </w:r>
          </w:p>
        </w:tc>
        <w:tc>
          <w:tcPr>
            <w:tcW w:w="132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采购单位联系人及</w:t>
            </w:r>
          </w:p>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1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0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95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合同或中标/成交通知书</w:t>
            </w:r>
          </w:p>
        </w:tc>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验收报告</w:t>
            </w:r>
          </w:p>
        </w:tc>
        <w:tc>
          <w:tcPr>
            <w:tcW w:w="53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用户评价</w:t>
            </w:r>
          </w:p>
        </w:tc>
        <w:tc>
          <w:tcPr>
            <w:tcW w:w="13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102"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02"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9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08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53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c>
          <w:tcPr>
            <w:tcW w:w="132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40" w:lineRule="exact"/>
              <w:jc w:val="left"/>
              <w:rPr>
                <w:rFonts w:ascii="宋体" w:hAnsi="宋体" w:cs="宋体"/>
                <w:color w:val="auto"/>
                <w:szCs w:val="21"/>
                <w:highlight w:val="none"/>
              </w:rPr>
            </w:pPr>
          </w:p>
        </w:tc>
      </w:tr>
    </w:tbl>
    <w:p>
      <w:pPr>
        <w:pStyle w:val="15"/>
        <w:snapToGrid w:val="0"/>
        <w:spacing w:line="440" w:lineRule="exact"/>
        <w:rPr>
          <w:rFonts w:ascii="宋体" w:hAnsi="宋体" w:eastAsia="宋体" w:cs="宋体"/>
          <w:color w:val="auto"/>
          <w:sz w:val="21"/>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napToGrid w:val="0"/>
        <w:spacing w:before="50" w:line="440" w:lineRule="exact"/>
        <w:jc w:val="left"/>
        <w:rPr>
          <w:rFonts w:ascii="宋体" w:hAnsi="宋体" w:cs="宋体"/>
          <w:b/>
          <w:color w:val="auto"/>
          <w:sz w:val="24"/>
          <w:highlight w:val="none"/>
        </w:rPr>
      </w:pPr>
      <w:r>
        <w:rPr>
          <w:rFonts w:hint="eastAsia" w:ascii="宋体" w:hAnsi="宋体" w:cs="宋体"/>
          <w:b/>
          <w:color w:val="auto"/>
          <w:sz w:val="24"/>
          <w:highlight w:val="none"/>
          <w:lang w:val="en-US" w:eastAsia="zh-CN"/>
        </w:rPr>
        <w:t>十</w:t>
      </w:r>
      <w:r>
        <w:rPr>
          <w:rFonts w:hint="eastAsia" w:ascii="宋体" w:hAnsi="宋体" w:cs="宋体"/>
          <w:b/>
          <w:color w:val="auto"/>
          <w:sz w:val="24"/>
          <w:highlight w:val="none"/>
        </w:rPr>
        <w:t>、 代理服务费承诺书格式</w:t>
      </w:r>
    </w:p>
    <w:p>
      <w:pPr>
        <w:snapToGrid w:val="0"/>
        <w:spacing w:before="120" w:beforeLines="50" w:after="50" w:line="440" w:lineRule="exact"/>
        <w:rPr>
          <w:rFonts w:ascii="宋体" w:hAnsi="宋体" w:cs="宋体"/>
          <w:color w:val="auto"/>
          <w:szCs w:val="21"/>
          <w:highlight w:val="none"/>
        </w:rPr>
      </w:pPr>
      <w:r>
        <w:rPr>
          <w:rFonts w:hint="eastAsia" w:ascii="宋体" w:hAnsi="宋体" w:cs="宋体"/>
          <w:color w:val="auto"/>
          <w:szCs w:val="21"/>
          <w:highlight w:val="none"/>
        </w:rPr>
        <w:t>致：广西德元工程项目管理有限责任公司</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我单位参加了贵方组织的采购项目编号为（）的磋商，在此我方说明如下：</w:t>
      </w:r>
    </w:p>
    <w:p>
      <w:pPr>
        <w:numPr>
          <w:ilvl w:val="0"/>
          <w:numId w:val="2"/>
        </w:numPr>
        <w:snapToGrid w:val="0"/>
        <w:spacing w:before="120" w:beforeLines="50" w:after="50" w:line="44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我方承诺，若我单位中标，保证在领取成交通知书之前，按本项目磋商文件的规定标准向贵单位一次性足额支付代理服务费。</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我单位选择第   种方式作为代理服务费开票类型：</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第一种方式：开具收据。</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第二种方式：开具增值税普通发票。开票信息如下：1.公司名称；2.纳税人识别号；</w:t>
      </w:r>
    </w:p>
    <w:p>
      <w:pPr>
        <w:snapToGrid w:val="0"/>
        <w:spacing w:before="120" w:beforeLines="50" w:after="50"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第三种方式：开具增值税专用发票，开票信息如下：1.公司名称；2.纳税人识别号；3.税局登记地址；4.税局登记电话；5.开户银行；6.银行账户。</w:t>
      </w:r>
    </w:p>
    <w:p>
      <w:pPr>
        <w:snapToGrid w:val="0"/>
        <w:spacing w:before="50" w:after="120" w:afterLines="50" w:line="440" w:lineRule="exact"/>
        <w:jc w:val="left"/>
        <w:rPr>
          <w:rFonts w:ascii="宋体" w:hAnsi="宋体" w:cs="宋体"/>
          <w:b/>
          <w:color w:val="auto"/>
          <w:sz w:val="24"/>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p>
    <w:p>
      <w:pPr>
        <w:snapToGrid w:val="0"/>
        <w:spacing w:before="120" w:beforeLines="50" w:after="50" w:line="440" w:lineRule="exact"/>
        <w:rPr>
          <w:rFonts w:ascii="宋体" w:hAnsi="宋体" w:cs="宋体"/>
          <w:b/>
          <w:bCs/>
          <w:color w:val="auto"/>
          <w:szCs w:val="21"/>
          <w:highlight w:val="none"/>
        </w:rPr>
      </w:pPr>
      <w:r>
        <w:rPr>
          <w:rFonts w:hint="eastAsia" w:ascii="宋体" w:hAnsi="宋体" w:cs="宋体"/>
          <w:b/>
          <w:bCs/>
          <w:color w:val="auto"/>
          <w:szCs w:val="21"/>
          <w:highlight w:val="none"/>
        </w:rPr>
        <w:t>3、报价文件格式：</w:t>
      </w:r>
    </w:p>
    <w:p>
      <w:pPr>
        <w:spacing w:line="440" w:lineRule="exact"/>
        <w:jc w:val="center"/>
        <w:rPr>
          <w:rFonts w:ascii="宋体" w:hAnsi="宋体" w:cs="宋体"/>
          <w:b/>
          <w:color w:val="auto"/>
          <w:sz w:val="32"/>
          <w:szCs w:val="32"/>
          <w:highlight w:val="none"/>
        </w:rPr>
      </w:pPr>
    </w:p>
    <w:p>
      <w:pPr>
        <w:spacing w:line="440" w:lineRule="exact"/>
        <w:jc w:val="center"/>
        <w:rPr>
          <w:rFonts w:ascii="宋体" w:hAnsi="宋体" w:cs="宋体"/>
          <w:b/>
          <w:color w:val="auto"/>
          <w:sz w:val="32"/>
          <w:szCs w:val="32"/>
          <w:highlight w:val="none"/>
        </w:rPr>
      </w:pPr>
    </w:p>
    <w:p>
      <w:pPr>
        <w:snapToGrid w:val="0"/>
        <w:spacing w:before="120" w:beforeLines="50" w:after="50" w:line="440" w:lineRule="exact"/>
        <w:ind w:firstLine="8" w:firstLineChars="3"/>
        <w:jc w:val="right"/>
        <w:rPr>
          <w:rFonts w:ascii="宋体" w:hAnsi="宋体" w:cs="宋体"/>
          <w:bCs/>
          <w:color w:val="auto"/>
          <w:sz w:val="28"/>
          <w:szCs w:val="28"/>
          <w:highlight w:val="none"/>
        </w:rPr>
      </w:pPr>
      <w:r>
        <w:rPr>
          <w:rFonts w:hint="eastAsia" w:ascii="宋体" w:hAnsi="宋体" w:cs="宋体"/>
          <w:bCs/>
          <w:color w:val="auto"/>
          <w:sz w:val="28"/>
          <w:szCs w:val="28"/>
          <w:highlight w:val="none"/>
        </w:rPr>
        <w:t>电子响应文件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9" w:firstLineChars="3"/>
        <w:jc w:val="center"/>
        <w:rPr>
          <w:rFonts w:ascii="宋体" w:hAnsi="宋体" w:cs="宋体"/>
          <w:bCs/>
          <w:color w:val="auto"/>
          <w:sz w:val="32"/>
          <w:szCs w:val="32"/>
          <w:highlight w:val="none"/>
        </w:rPr>
      </w:pPr>
    </w:p>
    <w:p>
      <w:pPr>
        <w:snapToGrid w:val="0"/>
        <w:spacing w:before="120" w:beforeLines="50" w:after="50" w:line="440" w:lineRule="exact"/>
        <w:ind w:firstLine="13" w:firstLineChars="3"/>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响应文件</w:t>
      </w:r>
    </w:p>
    <w:p>
      <w:pPr>
        <w:snapToGrid w:val="0"/>
        <w:spacing w:before="120" w:beforeLines="50" w:after="50" w:line="440" w:lineRule="exact"/>
        <w:ind w:firstLine="9" w:firstLineChars="3"/>
        <w:jc w:val="center"/>
        <w:rPr>
          <w:rFonts w:ascii="宋体" w:hAnsi="宋体" w:cs="宋体"/>
          <w:bCs/>
          <w:color w:val="auto"/>
          <w:sz w:val="32"/>
          <w:szCs w:val="32"/>
          <w:highlight w:val="none"/>
        </w:rPr>
      </w:pPr>
      <w:r>
        <w:rPr>
          <w:rFonts w:hint="eastAsia" w:ascii="宋体" w:hAnsi="宋体" w:cs="宋体"/>
          <w:bCs/>
          <w:color w:val="auto"/>
          <w:sz w:val="32"/>
          <w:szCs w:val="32"/>
          <w:highlight w:val="none"/>
        </w:rPr>
        <w:t>（报价文件）</w:t>
      </w:r>
    </w:p>
    <w:p>
      <w:pPr>
        <w:snapToGrid w:val="0"/>
        <w:spacing w:before="120" w:beforeLines="50" w:after="50" w:line="440" w:lineRule="exact"/>
        <w:rPr>
          <w:rFonts w:ascii="宋体" w:hAnsi="宋体" w:cs="宋体"/>
          <w:bCs/>
          <w:color w:val="auto"/>
          <w:szCs w:val="21"/>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项目名称：</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项目编号：</w:t>
      </w:r>
    </w:p>
    <w:p>
      <w:pPr>
        <w:snapToGrid w:val="0"/>
        <w:spacing w:before="120" w:beforeLines="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标    项：（如有则填写，无分标时填写“无”或者留空）</w:t>
      </w:r>
    </w:p>
    <w:p>
      <w:pPr>
        <w:snapToGrid w:val="0"/>
        <w:spacing w:before="120" w:beforeLines="50" w:after="50"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供应商名称：（加盖单位电子公章）</w:t>
      </w: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p>
    <w:p>
      <w:pPr>
        <w:pStyle w:val="11"/>
        <w:snapToGrid w:val="0"/>
        <w:spacing w:before="100" w:beforeAutospacing="1" w:after="100" w:afterAutospacing="1" w:line="440" w:lineRule="exact"/>
        <w:ind w:firstLine="675" w:firstLineChars="225"/>
        <w:rPr>
          <w:rFonts w:ascii="宋体" w:hAnsi="宋体" w:cs="宋体"/>
          <w:bCs/>
          <w:color w:val="auto"/>
          <w:sz w:val="30"/>
          <w:szCs w:val="30"/>
          <w:highlight w:val="none"/>
        </w:rPr>
      </w:pPr>
      <w:r>
        <w:rPr>
          <w:rFonts w:hint="eastAsia" w:ascii="宋体" w:hAnsi="宋体" w:cs="宋体"/>
          <w:bCs/>
          <w:color w:val="auto"/>
          <w:sz w:val="30"/>
          <w:szCs w:val="30"/>
          <w:highlight w:val="none"/>
        </w:rPr>
        <w:t>供应商地址：</w:t>
      </w:r>
    </w:p>
    <w:p>
      <w:pPr>
        <w:pStyle w:val="11"/>
        <w:snapToGrid w:val="0"/>
        <w:spacing w:before="50" w:after="50" w:line="440" w:lineRule="exact"/>
        <w:ind w:firstLine="675" w:firstLineChars="225"/>
        <w:rPr>
          <w:rFonts w:ascii="宋体" w:hAnsi="宋体" w:cs="宋体"/>
          <w:bCs/>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p>
    <w:p>
      <w:pPr>
        <w:snapToGrid w:val="0"/>
        <w:spacing w:before="120" w:beforeLines="50" w:after="50" w:line="440" w:lineRule="exact"/>
        <w:ind w:firstLine="10"/>
        <w:jc w:val="center"/>
        <w:rPr>
          <w:rFonts w:ascii="宋体" w:hAnsi="宋体" w:cs="宋体"/>
          <w:color w:val="auto"/>
          <w:sz w:val="30"/>
          <w:szCs w:val="30"/>
          <w:highlight w:val="none"/>
        </w:rPr>
      </w:pPr>
      <w:r>
        <w:rPr>
          <w:rFonts w:hint="eastAsia" w:ascii="宋体" w:hAnsi="宋体" w:cs="宋体"/>
          <w:color w:val="auto"/>
          <w:sz w:val="30"/>
          <w:szCs w:val="30"/>
          <w:highlight w:val="none"/>
        </w:rPr>
        <w:t>年   月   日</w:t>
      </w:r>
    </w:p>
    <w:p>
      <w:pPr>
        <w:spacing w:line="440" w:lineRule="exact"/>
        <w:rPr>
          <w:rFonts w:ascii="宋体" w:hAnsi="宋体" w:cs="宋体"/>
          <w:b/>
          <w:color w:val="auto"/>
          <w:szCs w:val="21"/>
          <w:highlight w:val="none"/>
        </w:rPr>
      </w:pPr>
    </w:p>
    <w:p>
      <w:pPr>
        <w:tabs>
          <w:tab w:val="left" w:pos="1418"/>
        </w:tabs>
        <w:snapToGrid w:val="0"/>
        <w:spacing w:before="50" w:after="50" w:line="440" w:lineRule="exact"/>
        <w:jc w:val="center"/>
        <w:rPr>
          <w:rFonts w:ascii="宋体" w:hAnsi="宋体" w:cs="宋体"/>
          <w:bCs/>
          <w:color w:val="auto"/>
          <w:szCs w:val="21"/>
          <w:highlight w:val="none"/>
        </w:rPr>
      </w:pPr>
      <w:r>
        <w:rPr>
          <w:rFonts w:hint="eastAsia" w:ascii="宋体" w:hAnsi="宋体" w:cs="宋体"/>
          <w:bCs/>
          <w:color w:val="auto"/>
          <w:szCs w:val="21"/>
          <w:highlight w:val="none"/>
        </w:rPr>
        <w:t>目录</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1、报价文件</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1.1</w:t>
      </w:r>
      <w:r>
        <w:rPr>
          <w:rFonts w:hint="eastAsia" w:ascii="宋体" w:hAnsi="宋体" w:cs="宋体"/>
          <w:color w:val="auto"/>
          <w:szCs w:val="21"/>
          <w:highlight w:val="none"/>
        </w:rPr>
        <w:t>竞标函</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1.2报价表和最后报价明细表………………………………</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1.3中小企业声明函（如是请提供）………………………………</w:t>
      </w:r>
    </w:p>
    <w:p>
      <w:pPr>
        <w:tabs>
          <w:tab w:val="left" w:pos="1418"/>
        </w:tabs>
        <w:snapToGrid w:val="0"/>
        <w:spacing w:before="50" w:after="50" w:line="440" w:lineRule="exact"/>
        <w:rPr>
          <w:rFonts w:ascii="宋体" w:hAnsi="宋体" w:cs="宋体"/>
          <w:color w:val="auto"/>
          <w:szCs w:val="21"/>
          <w:highlight w:val="none"/>
        </w:rPr>
      </w:pPr>
      <w:r>
        <w:rPr>
          <w:rFonts w:hint="eastAsia" w:ascii="宋体" w:hAnsi="宋体" w:cs="宋体"/>
          <w:color w:val="auto"/>
          <w:szCs w:val="21"/>
          <w:highlight w:val="none"/>
        </w:rPr>
        <w:t>1.4监狱企业由省级以上监狱管理局、戒毒管理局（含新疆生产建设兵团）出具的属于监狱企业的证明文件（如是请提供）………………………………</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1.5</w:t>
      </w:r>
      <w:r>
        <w:rPr>
          <w:rFonts w:hint="eastAsia" w:ascii="宋体" w:hAnsi="宋体" w:cs="宋体"/>
          <w:color w:val="auto"/>
          <w:szCs w:val="21"/>
          <w:highlight w:val="none"/>
        </w:rPr>
        <w:t>残疾人福利性单位声明函（如是请提供）</w:t>
      </w:r>
      <w:r>
        <w:rPr>
          <w:rFonts w:hint="eastAsia" w:ascii="宋体" w:hAnsi="宋体" w:cs="宋体"/>
          <w:bCs/>
          <w:color w:val="auto"/>
          <w:szCs w:val="21"/>
          <w:highlight w:val="none"/>
        </w:rPr>
        <w:t>………………………………………</w:t>
      </w:r>
    </w:p>
    <w:p>
      <w:pPr>
        <w:tabs>
          <w:tab w:val="left" w:pos="1418"/>
        </w:tabs>
        <w:snapToGrid w:val="0"/>
        <w:spacing w:before="50" w:after="50" w:line="440" w:lineRule="exact"/>
        <w:rPr>
          <w:rFonts w:ascii="宋体" w:hAnsi="宋体" w:cs="宋体"/>
          <w:bCs/>
          <w:color w:val="auto"/>
          <w:szCs w:val="21"/>
          <w:highlight w:val="none"/>
        </w:rPr>
      </w:pPr>
      <w:r>
        <w:rPr>
          <w:rFonts w:hint="eastAsia" w:ascii="宋体" w:hAnsi="宋体" w:cs="宋体"/>
          <w:bCs/>
          <w:color w:val="auto"/>
          <w:szCs w:val="21"/>
          <w:highlight w:val="none"/>
        </w:rPr>
        <w:t>1.6</w:t>
      </w:r>
      <w:r>
        <w:rPr>
          <w:rFonts w:hint="eastAsia" w:ascii="宋体" w:hAnsi="宋体" w:cs="宋体"/>
          <w:color w:val="auto"/>
          <w:szCs w:val="21"/>
          <w:highlight w:val="none"/>
        </w:rPr>
        <w:t>供应商针对报价需要说明的其他文件和说明</w:t>
      </w:r>
      <w:r>
        <w:rPr>
          <w:rFonts w:hint="eastAsia" w:ascii="宋体" w:hAnsi="宋体" w:cs="宋体"/>
          <w:bCs/>
          <w:color w:val="auto"/>
          <w:szCs w:val="21"/>
          <w:highlight w:val="none"/>
        </w:rPr>
        <w:t>……………………………………</w:t>
      </w: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Cs/>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一、竞标函格式</w:t>
      </w:r>
    </w:p>
    <w:p>
      <w:pPr>
        <w:snapToGrid w:val="0"/>
        <w:spacing w:before="120" w:beforeLines="50" w:after="50"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竞 标 函</w:t>
      </w:r>
    </w:p>
    <w:p>
      <w:pPr>
        <w:snapToGrid w:val="0"/>
        <w:spacing w:before="120" w:beforeLines="50" w:after="50" w:line="440" w:lineRule="exact"/>
        <w:jc w:val="center"/>
        <w:rPr>
          <w:rFonts w:ascii="宋体" w:hAnsi="宋体" w:cs="宋体"/>
          <w:b/>
          <w:color w:val="auto"/>
          <w:sz w:val="24"/>
          <w:szCs w:val="20"/>
          <w:highlight w:val="none"/>
        </w:rPr>
      </w:pP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致：（采购人名称）：</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根据贵方为项目的招标公告（项目编号：     ），签字代表</w:t>
      </w:r>
      <w:r>
        <w:rPr>
          <w:rFonts w:hint="eastAsia" w:ascii="宋体" w:hAnsi="宋体" w:cs="宋体"/>
          <w:color w:val="auto"/>
          <w:szCs w:val="21"/>
          <w:highlight w:val="none"/>
          <w:u w:val="single"/>
        </w:rPr>
        <w:t xml:space="preserve">     （全名）</w:t>
      </w:r>
      <w:r>
        <w:rPr>
          <w:rFonts w:hint="eastAsia" w:ascii="宋体" w:hAnsi="宋体" w:cs="宋体"/>
          <w:color w:val="auto"/>
          <w:szCs w:val="21"/>
          <w:highlight w:val="none"/>
        </w:rPr>
        <w:t>经正式授权并代表供应商</w:t>
      </w:r>
      <w:r>
        <w:rPr>
          <w:rFonts w:hint="eastAsia" w:ascii="宋体" w:hAnsi="宋体" w:cs="宋体"/>
          <w:color w:val="auto"/>
          <w:szCs w:val="21"/>
          <w:highlight w:val="none"/>
          <w:u w:val="single"/>
        </w:rPr>
        <w:t xml:space="preserve">                    （供应商名称）</w:t>
      </w:r>
      <w:r>
        <w:rPr>
          <w:rFonts w:hint="eastAsia" w:ascii="宋体" w:hAnsi="宋体" w:cs="宋体"/>
          <w:color w:val="auto"/>
          <w:szCs w:val="21"/>
          <w:highlight w:val="none"/>
        </w:rPr>
        <w:t>现正式递交下述文件参加贵方组织的本次政府采购活动：</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一、报价文件电子版一份；</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二、资格文件电子版一份；</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三、商务和技术文件电子版一份；</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1.我方已详细审查全部“竞争性磋商文件”，包括修改文件（如有的话）以及全部参考资料和有关附件，已经了解我方对于磋商文件、采购过程、采购结果有依法进行询问、质疑、投诉的权利及相关渠道和要求。</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2.我方在投标之前已经与贵方进行了充分的沟通，完全理解并接受招标文件的各项规定和要求，对招标文件的合理性、合法性不再有异议。</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3.本投标有效期自开标日起     个日（自然日）。</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4.如中标，本响应文件至本项目合同履行完毕止均保持有效，我方将按“竞争性磋商文件”及政府采购法律、法规的规定履行合同责任和义务。</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5.我方同意按照贵方要求提供与投标有关的一切数据或资料。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6.与本投标有关的一切正式往来信函请寄：</w:t>
      </w:r>
    </w:p>
    <w:p>
      <w:pPr>
        <w:snapToGrid w:val="0"/>
        <w:spacing w:line="440" w:lineRule="exact"/>
        <w:rPr>
          <w:rFonts w:ascii="宋体" w:hAnsi="宋体" w:cs="宋体"/>
          <w:color w:val="auto"/>
          <w:szCs w:val="21"/>
          <w:highlight w:val="none"/>
          <w:u w:val="single"/>
        </w:rPr>
      </w:pPr>
      <w:r>
        <w:rPr>
          <w:rFonts w:hint="eastAsia" w:ascii="宋体" w:hAnsi="宋体" w:cs="宋体"/>
          <w:color w:val="auto"/>
          <w:szCs w:val="21"/>
          <w:highlight w:val="none"/>
        </w:rPr>
        <w:t>地址：       邮编：       电话：</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传真：       供应商代表姓名、职务：</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供应商名称:</w:t>
      </w:r>
    </w:p>
    <w:p>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开户银行：   银行</w:t>
      </w:r>
      <w:r>
        <w:rPr>
          <w:rFonts w:hint="eastAsia" w:ascii="宋体" w:hAnsi="宋体" w:cs="宋体"/>
          <w:color w:val="auto"/>
          <w:szCs w:val="21"/>
          <w:highlight w:val="none"/>
          <w:lang w:eastAsia="zh-CN"/>
        </w:rPr>
        <w:t>账号</w:t>
      </w:r>
      <w:r>
        <w:rPr>
          <w:rFonts w:hint="eastAsia" w:ascii="宋体" w:hAnsi="宋体" w:cs="宋体"/>
          <w:color w:val="auto"/>
          <w:szCs w:val="21"/>
          <w:highlight w:val="none"/>
        </w:rPr>
        <w:t>：</w:t>
      </w:r>
    </w:p>
    <w:p>
      <w:pPr>
        <w:snapToGrid w:val="0"/>
        <w:spacing w:line="440" w:lineRule="exact"/>
        <w:rPr>
          <w:rFonts w:ascii="宋体" w:hAnsi="宋体" w:cs="宋体"/>
          <w:color w:val="auto"/>
          <w:szCs w:val="21"/>
          <w:highlight w:val="none"/>
        </w:rPr>
      </w:pPr>
    </w:p>
    <w:p>
      <w:pPr>
        <w:snapToGrid w:val="0"/>
        <w:spacing w:line="440" w:lineRule="exact"/>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pStyle w:val="23"/>
        <w:spacing w:line="440" w:lineRule="exact"/>
        <w:rPr>
          <w:rFonts w:hAnsi="宋体" w:cs="宋体"/>
          <w:color w:val="auto"/>
          <w:sz w:val="44"/>
          <w:highlight w:val="none"/>
        </w:rPr>
      </w:pPr>
    </w:p>
    <w:p>
      <w:pPr>
        <w:pStyle w:val="23"/>
        <w:spacing w:line="440" w:lineRule="exact"/>
        <w:rPr>
          <w:rFonts w:hAnsi="宋体" w:cs="宋体"/>
          <w:color w:val="auto"/>
          <w:sz w:val="44"/>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p>
    <w:p>
      <w:pPr>
        <w:spacing w:line="440" w:lineRule="exact"/>
        <w:rPr>
          <w:rFonts w:ascii="宋体" w:hAnsi="宋体" w:cs="宋体"/>
          <w:b/>
          <w:color w:val="auto"/>
          <w:szCs w:val="21"/>
          <w:highlight w:val="none"/>
        </w:rPr>
      </w:pPr>
      <w:r>
        <w:rPr>
          <w:rFonts w:hint="eastAsia" w:ascii="宋体" w:hAnsi="宋体" w:cs="宋体"/>
          <w:b/>
          <w:color w:val="auto"/>
          <w:szCs w:val="21"/>
          <w:highlight w:val="none"/>
        </w:rPr>
        <w:t>二、报价表和最后报价明细表格式</w:t>
      </w:r>
    </w:p>
    <w:p>
      <w:pPr>
        <w:spacing w:line="44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报  价  表</w:t>
      </w:r>
    </w:p>
    <w:p>
      <w:pPr>
        <w:spacing w:line="440" w:lineRule="exact"/>
        <w:jc w:val="center"/>
        <w:rPr>
          <w:rFonts w:ascii="宋体" w:hAnsi="宋体" w:cs="宋体"/>
          <w:b/>
          <w:color w:val="auto"/>
          <w:sz w:val="32"/>
          <w:szCs w:val="32"/>
          <w:highlight w:val="none"/>
        </w:rPr>
      </w:pP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tbl>
      <w:tblPr>
        <w:tblStyle w:val="4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8"/>
        <w:gridCol w:w="2219"/>
        <w:gridCol w:w="1418"/>
        <w:gridCol w:w="2551"/>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zCs w:val="21"/>
                <w:highlight w:val="none"/>
              </w:rPr>
              <w:t>序号</w:t>
            </w: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服务名称</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单位及数量</w:t>
            </w: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szCs w:val="21"/>
                <w:highlight w:val="none"/>
              </w:rPr>
              <w:t>竞标报价（元）</w:t>
            </w: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r>
              <w:rPr>
                <w:rFonts w:hint="eastAsia" w:ascii="宋体" w:hAnsi="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r>
              <w:rPr>
                <w:rFonts w:hint="eastAsia" w:ascii="宋体" w:hAnsi="宋体" w:cs="宋体"/>
                <w:color w:val="auto"/>
                <w:spacing w:val="20"/>
                <w:szCs w:val="21"/>
                <w:highlight w:val="none"/>
              </w:rPr>
              <w:t>1</w:t>
            </w: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75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1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left"/>
              <w:rPr>
                <w:rFonts w:ascii="宋体"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zCs w:val="21"/>
                <w:highlight w:val="none"/>
              </w:rPr>
            </w:pPr>
          </w:p>
        </w:tc>
        <w:tc>
          <w:tcPr>
            <w:tcW w:w="2551"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line="440" w:lineRule="exact"/>
              <w:jc w:val="center"/>
              <w:rPr>
                <w:rFonts w:ascii="宋体" w:hAnsi="宋体" w:cs="宋体"/>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214" w:type="dxa"/>
            <w:gridSpan w:val="5"/>
            <w:tcBorders>
              <w:top w:val="single" w:color="auto" w:sz="4" w:space="0"/>
              <w:left w:val="single" w:color="auto" w:sz="4" w:space="0"/>
              <w:bottom w:val="single" w:color="auto" w:sz="4" w:space="0"/>
              <w:right w:val="single" w:color="auto" w:sz="4" w:space="0"/>
            </w:tcBorders>
          </w:tcPr>
          <w:p>
            <w:pPr>
              <w:tabs>
                <w:tab w:val="left" w:pos="1418"/>
              </w:tabs>
              <w:snapToGrid w:val="0"/>
              <w:spacing w:before="50" w:after="50" w:line="440" w:lineRule="exact"/>
              <w:jc w:val="left"/>
              <w:rPr>
                <w:rFonts w:ascii="宋体" w:hAnsi="宋体" w:cs="宋体"/>
                <w:color w:val="auto"/>
                <w:szCs w:val="21"/>
                <w:highlight w:val="none"/>
              </w:rPr>
            </w:pPr>
            <w:r>
              <w:rPr>
                <w:rFonts w:hint="eastAsia" w:ascii="宋体" w:hAnsi="宋体" w:cs="宋体"/>
                <w:color w:val="auto"/>
                <w:kern w:val="0"/>
                <w:szCs w:val="21"/>
                <w:highlight w:val="none"/>
              </w:rPr>
              <w:t>服务期限</w:t>
            </w:r>
            <w:r>
              <w:rPr>
                <w:rFonts w:hint="eastAsia" w:ascii="宋体" w:hAnsi="宋体" w:cs="宋体"/>
                <w:color w:val="auto"/>
                <w:szCs w:val="21"/>
                <w:highlight w:val="none"/>
              </w:rPr>
              <w:t xml:space="preserve">： </w:t>
            </w:r>
          </w:p>
        </w:tc>
      </w:tr>
    </w:tbl>
    <w:p>
      <w:pPr>
        <w:snapToGrid w:val="0"/>
        <w:spacing w:before="50" w:after="50" w:line="440" w:lineRule="exact"/>
        <w:rPr>
          <w:rFonts w:ascii="宋体" w:hAnsi="宋体" w:cs="宋体"/>
          <w:color w:val="auto"/>
          <w:highlight w:val="none"/>
          <w:u w:val="single"/>
        </w:rPr>
      </w:pPr>
    </w:p>
    <w:p>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注：</w:t>
      </w:r>
    </w:p>
    <w:p>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1、所有价格均用人民币表示，单位为元，精确到个位。</w:t>
      </w:r>
    </w:p>
    <w:p>
      <w:pPr>
        <w:snapToGrid w:val="0"/>
        <w:spacing w:before="50" w:after="50" w:line="440" w:lineRule="exact"/>
        <w:jc w:val="left"/>
        <w:rPr>
          <w:rFonts w:ascii="宋体" w:hAnsi="宋体" w:cs="宋体"/>
          <w:color w:val="auto"/>
          <w:szCs w:val="21"/>
          <w:highlight w:val="none"/>
        </w:rPr>
      </w:pPr>
      <w:r>
        <w:rPr>
          <w:rFonts w:hint="eastAsia" w:ascii="宋体" w:hAnsi="宋体" w:cs="宋体"/>
          <w:color w:val="auto"/>
          <w:szCs w:val="21"/>
          <w:highlight w:val="none"/>
        </w:rPr>
        <w:t>2、报价一经涂改，应在涂改处加盖单位公章或者由法定代表人或授权委托人签字，否则其报价无效。</w:t>
      </w:r>
    </w:p>
    <w:p>
      <w:pPr>
        <w:snapToGrid w:val="0"/>
        <w:spacing w:before="50" w:after="50" w:line="440" w:lineRule="exact"/>
        <w:jc w:val="left"/>
        <w:rPr>
          <w:rFonts w:ascii="宋体" w:hAnsi="宋体" w:cs="宋体"/>
          <w:color w:val="auto"/>
          <w:szCs w:val="21"/>
          <w:highlight w:val="none"/>
        </w:rPr>
      </w:pPr>
    </w:p>
    <w:p>
      <w:pPr>
        <w:snapToGrid w:val="0"/>
        <w:spacing w:before="50" w:after="50" w:line="440" w:lineRule="exact"/>
        <w:ind w:firstLine="420" w:firstLineChars="200"/>
        <w:rPr>
          <w:rFonts w:ascii="宋体" w:hAnsi="宋体" w:cs="宋体"/>
          <w:color w:val="auto"/>
          <w:szCs w:val="21"/>
          <w:highlight w:val="none"/>
        </w:rPr>
      </w:pPr>
    </w:p>
    <w:p>
      <w:pPr>
        <w:snapToGrid w:val="0"/>
        <w:spacing w:before="50" w:after="50" w:line="440" w:lineRule="exact"/>
        <w:ind w:firstLine="420" w:firstLineChars="2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jc w:val="left"/>
        <w:rPr>
          <w:rFonts w:ascii="宋体" w:hAnsi="宋体" w:cs="宋体"/>
          <w:color w:val="auto"/>
          <w:szCs w:val="21"/>
          <w:highlight w:val="none"/>
        </w:rPr>
      </w:pPr>
    </w:p>
    <w:p>
      <w:pPr>
        <w:spacing w:line="440" w:lineRule="exact"/>
        <w:jc w:val="left"/>
        <w:rPr>
          <w:rFonts w:ascii="宋体" w:hAnsi="宋体" w:cs="宋体"/>
          <w:color w:val="auto"/>
          <w:szCs w:val="21"/>
          <w:highlight w:val="none"/>
        </w:rPr>
      </w:pPr>
    </w:p>
    <w:p>
      <w:pPr>
        <w:spacing w:line="440" w:lineRule="exact"/>
        <w:jc w:val="left"/>
        <w:rPr>
          <w:rFonts w:ascii="宋体" w:hAnsi="宋体" w:cs="宋体"/>
          <w:color w:val="auto"/>
          <w:szCs w:val="21"/>
          <w:highlight w:val="none"/>
        </w:rPr>
      </w:pPr>
    </w:p>
    <w:p>
      <w:pPr>
        <w:spacing w:line="440" w:lineRule="exact"/>
        <w:jc w:val="left"/>
        <w:rPr>
          <w:rFonts w:ascii="宋体" w:hAnsi="宋体" w:cs="宋体"/>
          <w:color w:val="auto"/>
          <w:szCs w:val="21"/>
          <w:highlight w:val="none"/>
        </w:rPr>
      </w:pPr>
    </w:p>
    <w:p>
      <w:pPr>
        <w:spacing w:line="440" w:lineRule="exact"/>
        <w:jc w:val="center"/>
        <w:rPr>
          <w:rFonts w:ascii="宋体" w:hAnsi="宋体" w:cs="宋体"/>
          <w:color w:val="auto"/>
          <w:sz w:val="44"/>
          <w:szCs w:val="20"/>
          <w:highlight w:val="none"/>
        </w:rPr>
      </w:pPr>
    </w:p>
    <w:p>
      <w:pPr>
        <w:rPr>
          <w:rFonts w:ascii="宋体" w:hAnsi="宋体" w:cs="宋体"/>
          <w:color w:val="auto"/>
          <w:sz w:val="44"/>
          <w:szCs w:val="20"/>
          <w:highlight w:val="none"/>
        </w:rPr>
      </w:pPr>
      <w:r>
        <w:rPr>
          <w:rFonts w:hint="eastAsia" w:ascii="宋体" w:hAnsi="宋体" w:cs="宋体"/>
          <w:color w:val="auto"/>
          <w:sz w:val="44"/>
          <w:szCs w:val="20"/>
          <w:highlight w:val="none"/>
        </w:rPr>
        <w:br w:type="page"/>
      </w:r>
    </w:p>
    <w:p>
      <w:pPr>
        <w:spacing w:line="440" w:lineRule="exact"/>
        <w:jc w:val="center"/>
        <w:rPr>
          <w:rFonts w:ascii="宋体" w:hAnsi="宋体" w:cs="宋体"/>
          <w:color w:val="auto"/>
          <w:sz w:val="44"/>
          <w:szCs w:val="20"/>
          <w:highlight w:val="none"/>
        </w:rPr>
      </w:pPr>
      <w:r>
        <w:rPr>
          <w:rFonts w:hint="eastAsia" w:ascii="宋体" w:hAnsi="宋体" w:cs="宋体"/>
          <w:color w:val="auto"/>
          <w:sz w:val="44"/>
          <w:szCs w:val="20"/>
          <w:highlight w:val="none"/>
        </w:rPr>
        <w:t>最后报价明细表</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项目名称：</w:t>
      </w:r>
    </w:p>
    <w:p>
      <w:pPr>
        <w:snapToGrid w:val="0"/>
        <w:spacing w:before="50" w:after="50" w:line="440" w:lineRule="exact"/>
        <w:rPr>
          <w:rFonts w:ascii="宋体" w:hAnsi="宋体" w:cs="宋体"/>
          <w:color w:val="auto"/>
          <w:highlight w:val="none"/>
          <w:u w:val="single"/>
        </w:rPr>
      </w:pPr>
      <w:r>
        <w:rPr>
          <w:rFonts w:hint="eastAsia" w:ascii="宋体" w:hAnsi="宋体" w:cs="宋体"/>
          <w:color w:val="auto"/>
          <w:szCs w:val="21"/>
          <w:highlight w:val="none"/>
        </w:rPr>
        <w:t>项目编号：</w:t>
      </w:r>
    </w:p>
    <w:p>
      <w:pPr>
        <w:snapToGrid w:val="0"/>
        <w:spacing w:before="50" w:after="50" w:line="440" w:lineRule="exact"/>
        <w:rPr>
          <w:rFonts w:ascii="宋体" w:hAnsi="宋体" w:cs="宋体"/>
          <w:color w:val="auto"/>
          <w:highlight w:val="none"/>
        </w:rPr>
      </w:pPr>
      <w:r>
        <w:rPr>
          <w:rFonts w:hint="eastAsia" w:ascii="宋体" w:hAnsi="宋体" w:cs="宋体"/>
          <w:color w:val="auto"/>
          <w:highlight w:val="none"/>
        </w:rPr>
        <w:t>分标号：</w:t>
      </w:r>
    </w:p>
    <w:p>
      <w:pPr>
        <w:spacing w:line="440" w:lineRule="exact"/>
        <w:ind w:firstLine="8190" w:firstLineChars="3900"/>
        <w:rPr>
          <w:rFonts w:ascii="宋体" w:hAnsi="宋体" w:cs="宋体"/>
          <w:color w:val="auto"/>
          <w:szCs w:val="21"/>
          <w:highlight w:val="none"/>
        </w:rPr>
      </w:pPr>
      <w:r>
        <w:rPr>
          <w:rFonts w:hint="eastAsia" w:ascii="宋体" w:hAnsi="宋体" w:cs="宋体"/>
          <w:color w:val="auto"/>
          <w:szCs w:val="21"/>
          <w:highlight w:val="none"/>
        </w:rPr>
        <w:t>单位：元</w:t>
      </w:r>
    </w:p>
    <w:tbl>
      <w:tblPr>
        <w:tblStyle w:val="41"/>
        <w:tblW w:w="9696"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3"/>
        <w:gridCol w:w="2272"/>
        <w:gridCol w:w="1515"/>
        <w:gridCol w:w="1212"/>
        <w:gridCol w:w="1514"/>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exact"/>
        </w:trPr>
        <w:tc>
          <w:tcPr>
            <w:tcW w:w="1213" w:type="dxa"/>
          </w:tcPr>
          <w:p>
            <w:pPr>
              <w:pStyle w:val="207"/>
              <w:spacing w:before="110" w:line="440" w:lineRule="exact"/>
              <w:ind w:left="217" w:right="224"/>
              <w:jc w:val="center"/>
              <w:rPr>
                <w:b/>
                <w:color w:val="auto"/>
                <w:sz w:val="21"/>
                <w:highlight w:val="none"/>
              </w:rPr>
            </w:pPr>
            <w:r>
              <w:rPr>
                <w:rFonts w:hint="eastAsia"/>
                <w:b/>
                <w:color w:val="auto"/>
                <w:sz w:val="21"/>
                <w:highlight w:val="none"/>
              </w:rPr>
              <w:t>项号</w:t>
            </w:r>
          </w:p>
        </w:tc>
        <w:tc>
          <w:tcPr>
            <w:tcW w:w="2272" w:type="dxa"/>
          </w:tcPr>
          <w:p>
            <w:pPr>
              <w:pStyle w:val="207"/>
              <w:spacing w:before="110" w:line="440" w:lineRule="exact"/>
              <w:ind w:right="0"/>
              <w:jc w:val="center"/>
              <w:rPr>
                <w:b/>
                <w:color w:val="auto"/>
                <w:sz w:val="21"/>
                <w:highlight w:val="none"/>
              </w:rPr>
            </w:pPr>
            <w:r>
              <w:rPr>
                <w:rFonts w:hint="eastAsia"/>
                <w:b/>
                <w:color w:val="auto"/>
                <w:szCs w:val="21"/>
                <w:highlight w:val="none"/>
              </w:rPr>
              <w:t>服务名称</w:t>
            </w:r>
          </w:p>
        </w:tc>
        <w:tc>
          <w:tcPr>
            <w:tcW w:w="1515" w:type="dxa"/>
          </w:tcPr>
          <w:p>
            <w:pPr>
              <w:pStyle w:val="207"/>
              <w:spacing w:before="110" w:line="440" w:lineRule="exact"/>
              <w:ind w:left="196" w:right="0"/>
              <w:rPr>
                <w:b/>
                <w:color w:val="auto"/>
                <w:sz w:val="21"/>
                <w:highlight w:val="none"/>
              </w:rPr>
            </w:pPr>
            <w:r>
              <w:rPr>
                <w:rFonts w:hint="eastAsia"/>
                <w:b/>
                <w:color w:val="auto"/>
                <w:sz w:val="21"/>
                <w:highlight w:val="none"/>
              </w:rPr>
              <w:t>数量①</w:t>
            </w:r>
          </w:p>
        </w:tc>
        <w:tc>
          <w:tcPr>
            <w:tcW w:w="1212" w:type="dxa"/>
          </w:tcPr>
          <w:p>
            <w:pPr>
              <w:pStyle w:val="207"/>
              <w:spacing w:before="110" w:line="440" w:lineRule="exact"/>
              <w:ind w:left="215" w:right="0"/>
              <w:rPr>
                <w:b/>
                <w:color w:val="auto"/>
                <w:sz w:val="21"/>
                <w:highlight w:val="none"/>
              </w:rPr>
            </w:pPr>
            <w:r>
              <w:rPr>
                <w:rFonts w:hint="eastAsia"/>
                <w:b/>
                <w:color w:val="auto"/>
                <w:sz w:val="21"/>
                <w:highlight w:val="none"/>
              </w:rPr>
              <w:t>单位</w:t>
            </w:r>
          </w:p>
        </w:tc>
        <w:tc>
          <w:tcPr>
            <w:tcW w:w="1514" w:type="dxa"/>
          </w:tcPr>
          <w:p>
            <w:pPr>
              <w:pStyle w:val="207"/>
              <w:spacing w:before="110" w:line="440" w:lineRule="exact"/>
              <w:ind w:left="206" w:right="0"/>
              <w:rPr>
                <w:b/>
                <w:color w:val="auto"/>
                <w:sz w:val="21"/>
                <w:highlight w:val="none"/>
              </w:rPr>
            </w:pPr>
            <w:r>
              <w:rPr>
                <w:rFonts w:hint="eastAsia"/>
                <w:b/>
                <w:color w:val="auto"/>
                <w:sz w:val="21"/>
                <w:highlight w:val="none"/>
              </w:rPr>
              <w:t>单价②</w:t>
            </w:r>
          </w:p>
        </w:tc>
        <w:tc>
          <w:tcPr>
            <w:tcW w:w="1970" w:type="dxa"/>
          </w:tcPr>
          <w:p>
            <w:pPr>
              <w:pStyle w:val="207"/>
              <w:spacing w:line="440" w:lineRule="exact"/>
              <w:ind w:left="0" w:right="0"/>
              <w:jc w:val="center"/>
              <w:rPr>
                <w:b/>
                <w:color w:val="auto"/>
                <w:sz w:val="21"/>
                <w:highlight w:val="none"/>
              </w:rPr>
            </w:pPr>
            <w:r>
              <w:rPr>
                <w:rFonts w:hint="eastAsia"/>
                <w:b/>
                <w:color w:val="auto"/>
                <w:sz w:val="21"/>
                <w:highlight w:val="none"/>
                <w:lang w:eastAsia="zh-CN"/>
              </w:rPr>
              <w:t>竞标</w:t>
            </w:r>
            <w:r>
              <w:rPr>
                <w:rFonts w:hint="eastAsia"/>
                <w:b/>
                <w:color w:val="auto"/>
                <w:sz w:val="21"/>
                <w:highlight w:val="none"/>
              </w:rPr>
              <w:t>报价</w:t>
            </w:r>
          </w:p>
          <w:p>
            <w:pPr>
              <w:pStyle w:val="207"/>
              <w:spacing w:line="440" w:lineRule="exact"/>
              <w:ind w:left="0" w:right="0"/>
              <w:jc w:val="center"/>
              <w:rPr>
                <w:b/>
                <w:color w:val="auto"/>
                <w:sz w:val="21"/>
                <w:highlight w:val="none"/>
              </w:rPr>
            </w:pPr>
            <w:r>
              <w:rPr>
                <w:rFonts w:hint="eastAsia"/>
                <w:b/>
                <w:color w:val="auto"/>
                <w:sz w:val="21"/>
                <w:highlight w:val="none"/>
              </w:rPr>
              <w:t>③=①×②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1</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2</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exact"/>
        </w:trPr>
        <w:tc>
          <w:tcPr>
            <w:tcW w:w="1213" w:type="dxa"/>
          </w:tcPr>
          <w:p>
            <w:pPr>
              <w:pStyle w:val="207"/>
              <w:spacing w:before="38" w:line="440" w:lineRule="exact"/>
              <w:ind w:left="0" w:right="0"/>
              <w:jc w:val="center"/>
              <w:rPr>
                <w:color w:val="auto"/>
                <w:sz w:val="21"/>
                <w:highlight w:val="none"/>
              </w:rPr>
            </w:pPr>
            <w:r>
              <w:rPr>
                <w:rFonts w:hint="eastAsia"/>
                <w:color w:val="auto"/>
                <w:sz w:val="21"/>
                <w:highlight w:val="none"/>
              </w:rPr>
              <w:t>N</w:t>
            </w:r>
          </w:p>
        </w:tc>
        <w:tc>
          <w:tcPr>
            <w:tcW w:w="2272" w:type="dxa"/>
          </w:tcPr>
          <w:p>
            <w:pPr>
              <w:spacing w:line="440" w:lineRule="exact"/>
              <w:rPr>
                <w:rFonts w:ascii="宋体" w:hAnsi="宋体" w:cs="宋体"/>
                <w:color w:val="auto"/>
                <w:highlight w:val="none"/>
              </w:rPr>
            </w:pPr>
          </w:p>
        </w:tc>
        <w:tc>
          <w:tcPr>
            <w:tcW w:w="1515" w:type="dxa"/>
          </w:tcPr>
          <w:p>
            <w:pPr>
              <w:spacing w:line="440" w:lineRule="exact"/>
              <w:rPr>
                <w:rFonts w:ascii="宋体" w:hAnsi="宋体" w:cs="宋体"/>
                <w:color w:val="auto"/>
                <w:highlight w:val="none"/>
              </w:rPr>
            </w:pPr>
          </w:p>
        </w:tc>
        <w:tc>
          <w:tcPr>
            <w:tcW w:w="1212" w:type="dxa"/>
          </w:tcPr>
          <w:p>
            <w:pPr>
              <w:spacing w:line="440" w:lineRule="exact"/>
              <w:rPr>
                <w:rFonts w:ascii="宋体" w:hAnsi="宋体" w:cs="宋体"/>
                <w:color w:val="auto"/>
                <w:highlight w:val="none"/>
              </w:rPr>
            </w:pPr>
          </w:p>
        </w:tc>
        <w:tc>
          <w:tcPr>
            <w:tcW w:w="1514" w:type="dxa"/>
          </w:tcPr>
          <w:p>
            <w:pPr>
              <w:spacing w:line="440" w:lineRule="exact"/>
              <w:rPr>
                <w:rFonts w:ascii="宋体" w:hAnsi="宋体" w:cs="宋体"/>
                <w:color w:val="auto"/>
                <w:highlight w:val="none"/>
              </w:rPr>
            </w:pPr>
          </w:p>
        </w:tc>
        <w:tc>
          <w:tcPr>
            <w:tcW w:w="1970" w:type="dxa"/>
          </w:tcPr>
          <w:p>
            <w:pPr>
              <w:spacing w:line="440" w:lineRule="exact"/>
              <w:rPr>
                <w:rFonts w:ascii="宋体" w:hAnsi="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exact"/>
        </w:trPr>
        <w:tc>
          <w:tcPr>
            <w:tcW w:w="9696" w:type="dxa"/>
            <w:gridSpan w:val="6"/>
            <w:vAlign w:val="center"/>
          </w:tcPr>
          <w:p>
            <w:pPr>
              <w:pStyle w:val="207"/>
              <w:tabs>
                <w:tab w:val="left" w:pos="2931"/>
                <w:tab w:val="left" w:pos="4620"/>
                <w:tab w:val="left" w:pos="7020"/>
                <w:tab w:val="left" w:pos="7905"/>
                <w:tab w:val="left" w:pos="8140"/>
              </w:tabs>
              <w:spacing w:before="14" w:line="440" w:lineRule="exact"/>
              <w:ind w:left="105" w:right="142"/>
              <w:rPr>
                <w:color w:val="auto"/>
                <w:sz w:val="24"/>
                <w:highlight w:val="none"/>
                <w:lang w:eastAsia="zh-CN"/>
              </w:rPr>
            </w:pPr>
            <w:r>
              <w:rPr>
                <w:rFonts w:hint="eastAsia"/>
                <w:color w:val="auto"/>
                <w:sz w:val="21"/>
                <w:szCs w:val="21"/>
                <w:highlight w:val="none"/>
                <w:lang w:eastAsia="zh-CN"/>
              </w:rPr>
              <w:t>投标报价（合计金额）大写：人民币</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u w:val="single"/>
                <w:lang w:eastAsia="zh-CN"/>
              </w:rPr>
              <w:tab/>
            </w:r>
            <w:r>
              <w:rPr>
                <w:rFonts w:hint="eastAsia"/>
                <w:color w:val="auto"/>
                <w:szCs w:val="21"/>
                <w:highlight w:val="none"/>
                <w:lang w:eastAsia="zh-CN"/>
              </w:rPr>
              <w:t>）。</w:t>
            </w:r>
          </w:p>
        </w:tc>
      </w:tr>
    </w:tbl>
    <w:p>
      <w:pPr>
        <w:spacing w:line="440" w:lineRule="exact"/>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注： </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参加磋商的供应商在规定时间内提交最后报价时，须附相应的报价明细表（最后报价明细表应按以上格式要求提供），并且最后报价金额须与最后报价明细表的合计金额相等，否则须在规定时间内按最后报价金额调整最后报价明细表的金额。</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2、所有价格均用人民币表示，单位为元，精确到个位。</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3、报价一经涂改，应在涂改处加盖单位公章或者由法定代表人或授权委托人签字，否则其报价无效。</w:t>
      </w:r>
    </w:p>
    <w:p>
      <w:pPr>
        <w:spacing w:line="440" w:lineRule="exact"/>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jc w:val="left"/>
        <w:rPr>
          <w:rFonts w:ascii="宋体" w:hAnsi="宋体" w:cs="宋体"/>
          <w:b/>
          <w:color w:val="auto"/>
          <w:szCs w:val="21"/>
          <w:highlight w:val="none"/>
        </w:rPr>
      </w:pPr>
      <w:r>
        <w:rPr>
          <w:rFonts w:hint="eastAsia" w:ascii="宋体" w:hAnsi="宋体" w:cs="宋体"/>
          <w:color w:val="auto"/>
          <w:szCs w:val="21"/>
          <w:highlight w:val="none"/>
        </w:rPr>
        <w:br w:type="page"/>
      </w:r>
      <w:r>
        <w:rPr>
          <w:rFonts w:hint="eastAsia" w:ascii="宋体" w:hAnsi="宋体" w:cs="宋体"/>
          <w:b/>
          <w:color w:val="auto"/>
          <w:szCs w:val="21"/>
          <w:highlight w:val="none"/>
        </w:rPr>
        <w:t>三、中小企业声明函格式</w:t>
      </w:r>
    </w:p>
    <w:p>
      <w:pPr>
        <w:widowControl/>
        <w:spacing w:before="100" w:beforeAutospacing="1" w:after="100" w:afterAutospacing="1" w:line="440" w:lineRule="exact"/>
        <w:jc w:val="center"/>
        <w:textAlignment w:val="top"/>
        <w:rPr>
          <w:rFonts w:ascii="宋体" w:hAnsi="宋体" w:cs="宋体"/>
          <w:color w:val="auto"/>
          <w:kern w:val="0"/>
          <w:szCs w:val="21"/>
          <w:highlight w:val="none"/>
        </w:rPr>
      </w:pPr>
      <w:r>
        <w:rPr>
          <w:rFonts w:hint="eastAsia" w:ascii="宋体" w:hAnsi="宋体" w:cs="宋体"/>
          <w:b/>
          <w:bCs/>
          <w:color w:val="auto"/>
          <w:kern w:val="0"/>
          <w:sz w:val="30"/>
          <w:highlight w:val="none"/>
        </w:rPr>
        <w:t>中小企业声明函</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说明：</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1、本声明函主要供参加政府采购活动的中小企业填写，非中小企业无需填写。</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2、小型、微型企业提供中型企业提供的货物的，视同为中型企业。</w:t>
      </w:r>
    </w:p>
    <w:p>
      <w:pPr>
        <w:spacing w:line="440" w:lineRule="exact"/>
        <w:ind w:firstLine="420" w:firstLineChars="200"/>
        <w:rPr>
          <w:rFonts w:ascii="宋体" w:hAnsi="宋体" w:cs="宋体"/>
          <w:color w:val="auto"/>
          <w:szCs w:val="21"/>
          <w:highlight w:val="none"/>
        </w:rPr>
      </w:pPr>
    </w:p>
    <w:p>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本公司（联合体）郑重声明，根据《政府采购促进中小企业发展管理办法》（财库﹝2020﹞46号）的规定，本公司（联合体）参加</w:t>
      </w:r>
      <w:r>
        <w:rPr>
          <w:rFonts w:hint="eastAsia" w:ascii="宋体" w:hAnsi="宋体" w:cs="宋体"/>
          <w:color w:val="auto"/>
          <w:szCs w:val="21"/>
          <w:highlight w:val="none"/>
          <w:u w:val="single"/>
        </w:rPr>
        <w:t>（单位名称）</w:t>
      </w:r>
      <w:r>
        <w:rPr>
          <w:rFonts w:hint="eastAsia" w:ascii="宋体" w:hAnsi="宋体" w:cs="宋体"/>
          <w:color w:val="auto"/>
          <w:szCs w:val="21"/>
          <w:highlight w:val="none"/>
        </w:rPr>
        <w:t>的</w:t>
      </w:r>
      <w:r>
        <w:rPr>
          <w:rFonts w:hint="eastAsia" w:ascii="宋体" w:hAnsi="宋体" w:cs="宋体"/>
          <w:color w:val="auto"/>
          <w:szCs w:val="21"/>
          <w:highlight w:val="none"/>
          <w:u w:val="single"/>
        </w:rPr>
        <w:t>（项目名称）</w:t>
      </w:r>
      <w:r>
        <w:rPr>
          <w:rFonts w:hint="eastAsia" w:ascii="宋体" w:hAnsi="宋体" w:cs="宋体"/>
          <w:color w:val="auto"/>
          <w:szCs w:val="21"/>
          <w:highlight w:val="none"/>
        </w:rPr>
        <w:t>采购活动，服务全部由符合政策要求的中小企业制造。相关企业（含联合体中的中小企业、签订分包意向协议的中小企业）的具体情况如下：</w:t>
      </w:r>
    </w:p>
    <w:p>
      <w:pPr>
        <w:tabs>
          <w:tab w:val="left" w:pos="1384"/>
          <w:tab w:val="left" w:pos="4562"/>
          <w:tab w:val="left" w:pos="6803"/>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pPr>
        <w:tabs>
          <w:tab w:val="left" w:pos="1065"/>
          <w:tab w:val="left" w:pos="6477"/>
        </w:tabs>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（标的名称）</w:t>
      </w:r>
      <w:r>
        <w:rPr>
          <w:rFonts w:hint="eastAsia" w:ascii="宋体" w:hAnsi="宋体" w:cs="宋体"/>
          <w:color w:val="auto"/>
          <w:szCs w:val="21"/>
          <w:highlight w:val="none"/>
        </w:rPr>
        <w:t>，属于</w:t>
      </w:r>
      <w:r>
        <w:rPr>
          <w:rFonts w:hint="eastAsia" w:ascii="宋体" w:hAnsi="宋体" w:cs="宋体"/>
          <w:color w:val="auto"/>
          <w:szCs w:val="21"/>
          <w:highlight w:val="none"/>
          <w:u w:val="single"/>
        </w:rPr>
        <w:t>（采购文件中明确的所属行业）</w:t>
      </w:r>
      <w:r>
        <w:rPr>
          <w:rFonts w:hint="eastAsia" w:ascii="宋体" w:hAnsi="宋体" w:cs="宋体"/>
          <w:color w:val="auto"/>
          <w:szCs w:val="21"/>
          <w:highlight w:val="none"/>
        </w:rPr>
        <w:t>行业；承接企业为</w:t>
      </w:r>
      <w:r>
        <w:rPr>
          <w:rFonts w:hint="eastAsia" w:ascii="宋体" w:hAnsi="宋体" w:cs="宋体"/>
          <w:color w:val="auto"/>
          <w:szCs w:val="21"/>
          <w:highlight w:val="none"/>
          <w:u w:val="single"/>
        </w:rPr>
        <w:t>（企业名称）</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万元，属于</w:t>
      </w:r>
      <w:r>
        <w:rPr>
          <w:rFonts w:hint="eastAsia" w:ascii="宋体" w:hAnsi="宋体" w:cs="宋体"/>
          <w:color w:val="auto"/>
          <w:szCs w:val="21"/>
          <w:highlight w:val="none"/>
          <w:u w:val="single"/>
        </w:rPr>
        <w:t>（中型企业、小型企业、微型企业）</w:t>
      </w:r>
      <w:r>
        <w:rPr>
          <w:rFonts w:hint="eastAsia" w:ascii="宋体" w:hAnsi="宋体" w:cs="宋体"/>
          <w:color w:val="auto"/>
          <w:szCs w:val="21"/>
          <w:highlight w:val="none"/>
        </w:rPr>
        <w:t>；</w:t>
      </w:r>
    </w:p>
    <w:p>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本企业对上述声明内容的真实性负责。如有虚假，将依法承担相应责任。</w:t>
      </w:r>
    </w:p>
    <w:p>
      <w:pPr>
        <w:spacing w:line="440" w:lineRule="exact"/>
        <w:ind w:firstLine="3150" w:firstLineChars="15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1、从业人员、营业收入、资产总额填报上一年度数据，无上一年度数据的新成立企业可不填报。</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2、请根据自己的真实情况出具《中小企业声明函》。依法享受中小企业优惠政策的，采购人或者采购代理机构在公告中标结果时，同时公告其《中小企业声明函》，接受社会监督。</w:t>
      </w:r>
    </w:p>
    <w:p>
      <w:pPr>
        <w:widowControl/>
        <w:spacing w:before="100" w:beforeAutospacing="1" w:after="100" w:afterAutospacing="1" w:line="440" w:lineRule="exact"/>
        <w:jc w:val="left"/>
        <w:textAlignment w:val="top"/>
        <w:rPr>
          <w:rFonts w:ascii="宋体" w:hAnsi="宋体" w:cs="宋体"/>
          <w:color w:val="auto"/>
          <w:szCs w:val="21"/>
          <w:highlight w:val="none"/>
        </w:rPr>
      </w:pPr>
    </w:p>
    <w:p>
      <w:pPr>
        <w:widowControl/>
        <w:spacing w:before="100" w:beforeAutospacing="1" w:after="100" w:afterAutospacing="1" w:line="440" w:lineRule="exact"/>
        <w:jc w:val="left"/>
        <w:textAlignment w:val="top"/>
        <w:rPr>
          <w:rFonts w:ascii="宋体" w:hAnsi="宋体" w:cs="宋体"/>
          <w:b/>
          <w:color w:val="auto"/>
          <w:szCs w:val="21"/>
          <w:highlight w:val="none"/>
        </w:rPr>
      </w:pPr>
    </w:p>
    <w:p>
      <w:pPr>
        <w:widowControl/>
        <w:spacing w:before="100" w:beforeAutospacing="1" w:after="100" w:afterAutospacing="1" w:line="440" w:lineRule="exact"/>
        <w:jc w:val="left"/>
        <w:textAlignment w:val="top"/>
        <w:rPr>
          <w:rFonts w:ascii="宋体" w:hAnsi="宋体" w:cs="宋体"/>
          <w:b/>
          <w:bCs/>
          <w:color w:val="auto"/>
          <w:highlight w:val="none"/>
        </w:rPr>
      </w:pPr>
      <w:r>
        <w:rPr>
          <w:rFonts w:hint="eastAsia" w:ascii="宋体" w:hAnsi="宋体" w:cs="宋体"/>
          <w:b/>
          <w:color w:val="auto"/>
          <w:szCs w:val="21"/>
          <w:highlight w:val="none"/>
        </w:rPr>
        <w:t>四、残疾人福利性单位声明函格式</w:t>
      </w:r>
    </w:p>
    <w:p>
      <w:pPr>
        <w:widowControl/>
        <w:spacing w:before="100" w:beforeAutospacing="1" w:after="100" w:afterAutospacing="1" w:line="440" w:lineRule="exact"/>
        <w:jc w:val="center"/>
        <w:textAlignment w:val="top"/>
        <w:rPr>
          <w:rFonts w:ascii="宋体" w:hAnsi="宋体" w:cs="宋体"/>
          <w:b/>
          <w:color w:val="auto"/>
          <w:sz w:val="32"/>
          <w:szCs w:val="32"/>
          <w:highlight w:val="none"/>
        </w:rPr>
      </w:pPr>
      <w:r>
        <w:rPr>
          <w:rFonts w:hint="eastAsia" w:ascii="宋体" w:hAnsi="宋体" w:cs="宋体"/>
          <w:b/>
          <w:color w:val="auto"/>
          <w:sz w:val="32"/>
          <w:szCs w:val="32"/>
          <w:highlight w:val="none"/>
        </w:rPr>
        <w:t>残疾人福利性单位声明函</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pPr>
        <w:spacing w:line="440" w:lineRule="exact"/>
        <w:ind w:firstLine="420" w:firstLineChars="200"/>
        <w:rPr>
          <w:rFonts w:ascii="宋体" w:hAnsi="宋体" w:cs="宋体"/>
          <w:color w:val="auto"/>
          <w:szCs w:val="21"/>
          <w:highlight w:val="none"/>
        </w:rPr>
      </w:pPr>
    </w:p>
    <w:p>
      <w:pPr>
        <w:spacing w:line="440" w:lineRule="exact"/>
        <w:ind w:firstLine="420" w:firstLineChars="200"/>
        <w:rPr>
          <w:rFonts w:ascii="宋体" w:hAnsi="宋体" w:cs="宋体"/>
          <w:color w:val="auto"/>
          <w:szCs w:val="21"/>
          <w:highlight w:val="none"/>
        </w:rPr>
      </w:pPr>
    </w:p>
    <w:p>
      <w:pPr>
        <w:spacing w:line="440" w:lineRule="exact"/>
        <w:ind w:firstLine="6090" w:firstLineChars="2900"/>
        <w:rPr>
          <w:rFonts w:ascii="宋体" w:hAnsi="宋体" w:cs="宋体"/>
          <w:color w:val="auto"/>
          <w:szCs w:val="21"/>
          <w:highlight w:val="none"/>
        </w:rPr>
      </w:pPr>
      <w:r>
        <w:rPr>
          <w:rFonts w:hint="eastAsia" w:ascii="宋体" w:hAnsi="宋体" w:cs="宋体"/>
          <w:color w:val="auto"/>
          <w:szCs w:val="21"/>
          <w:highlight w:val="none"/>
        </w:rPr>
        <w:t>供应商名称(电子签章)：</w:t>
      </w:r>
    </w:p>
    <w:p>
      <w:pPr>
        <w:spacing w:line="440" w:lineRule="exact"/>
        <w:ind w:firstLine="6300" w:firstLineChars="3000"/>
        <w:rPr>
          <w:rFonts w:ascii="宋体" w:hAnsi="宋体" w:cs="宋体"/>
          <w:color w:val="auto"/>
          <w:szCs w:val="21"/>
          <w:highlight w:val="none"/>
        </w:rPr>
      </w:pPr>
      <w:r>
        <w:rPr>
          <w:rFonts w:hint="eastAsia" w:ascii="宋体" w:hAnsi="宋体" w:cs="宋体"/>
          <w:color w:val="auto"/>
          <w:szCs w:val="21"/>
          <w:highlight w:val="none"/>
        </w:rPr>
        <w:t>日期： 年 月 日</w:t>
      </w:r>
    </w:p>
    <w:p>
      <w:pPr>
        <w:spacing w:line="440" w:lineRule="exact"/>
        <w:ind w:firstLine="420" w:firstLineChars="200"/>
        <w:rPr>
          <w:rFonts w:ascii="宋体" w:hAnsi="宋体" w:cs="宋体"/>
          <w:color w:val="auto"/>
          <w:szCs w:val="21"/>
          <w:highlight w:val="none"/>
        </w:rPr>
      </w:pPr>
    </w:p>
    <w:p>
      <w:pPr>
        <w:widowControl/>
        <w:spacing w:before="100" w:beforeAutospacing="1" w:after="100" w:afterAutospacing="1" w:line="440" w:lineRule="exact"/>
        <w:ind w:firstLine="420"/>
        <w:jc w:val="left"/>
        <w:textAlignment w:val="top"/>
        <w:rPr>
          <w:rFonts w:ascii="宋体" w:hAnsi="宋体" w:cs="宋体"/>
          <w:color w:val="auto"/>
          <w:kern w:val="0"/>
          <w:szCs w:val="21"/>
          <w:highlight w:val="none"/>
        </w:rPr>
        <w:sectPr>
          <w:pgSz w:w="11906" w:h="16838"/>
          <w:pgMar w:top="1134" w:right="1247" w:bottom="1134" w:left="1247" w:header="851" w:footer="992" w:gutter="0"/>
          <w:cols w:space="720" w:num="1"/>
          <w:docGrid w:linePitch="312" w:charSpace="0"/>
        </w:sect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pStyle w:val="4"/>
        <w:spacing w:line="440" w:lineRule="exact"/>
        <w:jc w:val="center"/>
        <w:rPr>
          <w:rFonts w:ascii="宋体" w:hAnsi="宋体" w:cs="宋体"/>
          <w:color w:val="auto"/>
          <w:sz w:val="28"/>
          <w:szCs w:val="28"/>
          <w:highlight w:val="none"/>
        </w:rPr>
      </w:pPr>
      <w:bookmarkStart w:id="57" w:name="_Toc88747295"/>
      <w:r>
        <w:rPr>
          <w:rFonts w:hint="eastAsia" w:ascii="宋体" w:hAnsi="宋体" w:cs="宋体"/>
          <w:color w:val="auto"/>
          <w:sz w:val="28"/>
          <w:szCs w:val="28"/>
          <w:highlight w:val="none"/>
        </w:rPr>
        <w:t>第五章 合同主要条款</w:t>
      </w:r>
      <w:bookmarkEnd w:id="57"/>
    </w:p>
    <w:p>
      <w:pPr>
        <w:spacing w:line="440" w:lineRule="exact"/>
        <w:rPr>
          <w:rFonts w:ascii="宋体" w:hAnsi="宋体" w:cs="宋体"/>
          <w:color w:val="auto"/>
          <w:sz w:val="24"/>
          <w:highlight w:val="none"/>
        </w:rPr>
      </w:pPr>
    </w:p>
    <w:p>
      <w:pPr>
        <w:jc w:val="center"/>
        <w:rPr>
          <w:rFonts w:ascii="宋体" w:hAnsi="宋体" w:cs="宋体"/>
          <w:b/>
          <w:bCs/>
          <w:color w:val="auto"/>
          <w:sz w:val="52"/>
          <w:szCs w:val="52"/>
          <w:highlight w:val="none"/>
        </w:rPr>
      </w:pP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 xml:space="preserve"> </w:t>
      </w:r>
    </w:p>
    <w:p>
      <w:pPr>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广西壮族自治区政府采购合同</w:t>
      </w:r>
    </w:p>
    <w:p>
      <w:pPr>
        <w:rPr>
          <w:rFonts w:ascii="宋体" w:hAnsi="宋体" w:cs="宋体"/>
          <w:color w:val="auto"/>
          <w:szCs w:val="21"/>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p>
    <w:p>
      <w:pPr>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highlight w:val="none"/>
        </w:rPr>
      </w:pPr>
      <w:r>
        <w:rPr>
          <w:rFonts w:hint="eastAsia" w:ascii="宋体" w:hAnsi="宋体" w:cs="宋体"/>
          <w:color w:val="auto"/>
          <w:highlight w:val="none"/>
        </w:rPr>
        <w:t xml:space="preserve"> </w:t>
      </w:r>
    </w:p>
    <w:p>
      <w:pPr>
        <w:ind w:left="2456" w:hanging="160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项目名称：</w:t>
      </w:r>
      <w:r>
        <w:rPr>
          <w:rFonts w:hint="eastAsia" w:ascii="宋体" w:hAnsi="宋体" w:cs="宋体"/>
          <w:b/>
          <w:bCs/>
          <w:color w:val="auto"/>
          <w:sz w:val="32"/>
          <w:szCs w:val="32"/>
          <w:highlight w:val="none"/>
          <w:u w:val="singl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合同编号：</w:t>
      </w:r>
      <w:r>
        <w:rPr>
          <w:rFonts w:hint="eastAsia" w:ascii="宋体" w:hAnsi="宋体" w:cs="宋体"/>
          <w:b/>
          <w:bCs/>
          <w:color w:val="auto"/>
          <w:sz w:val="32"/>
          <w:szCs w:val="32"/>
          <w:highlight w:val="none"/>
          <w:u w:val="single"/>
        </w:rPr>
        <w:t xml:space="preserve">                          </w:t>
      </w:r>
    </w:p>
    <w:p>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采购单位（甲方）：</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u w:val="single"/>
          <w:lang w:eastAsia="zh-CN"/>
        </w:rPr>
        <w:t>广西壮族自治区农业信息中心</w:t>
      </w:r>
      <w:r>
        <w:rPr>
          <w:rFonts w:hint="eastAsia" w:ascii="宋体" w:hAnsi="宋体" w:cs="宋体"/>
          <w:b/>
          <w:bCs/>
          <w:color w:val="auto"/>
          <w:sz w:val="32"/>
          <w:szCs w:val="32"/>
          <w:highlight w:val="none"/>
          <w:u w:val="single"/>
        </w:rPr>
        <w:t xml:space="preserve">   </w:t>
      </w:r>
    </w:p>
    <w:p>
      <w:pPr>
        <w:ind w:firstLine="851" w:firstLineChars="265"/>
        <w:rPr>
          <w:rFonts w:ascii="宋体" w:hAnsi="宋体" w:cs="宋体"/>
          <w:b/>
          <w:bCs/>
          <w:color w:val="auto"/>
          <w:sz w:val="32"/>
          <w:szCs w:val="32"/>
          <w:highlight w:val="none"/>
        </w:rPr>
      </w:pPr>
      <w:r>
        <w:rPr>
          <w:rFonts w:hint="eastAsia" w:ascii="宋体" w:hAnsi="宋体" w:cs="宋体"/>
          <w:b/>
          <w:bCs/>
          <w:color w:val="auto"/>
          <w:sz w:val="32"/>
          <w:szCs w:val="32"/>
          <w:highlight w:val="non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供 应 商（乙方）：</w:t>
      </w:r>
      <w:r>
        <w:rPr>
          <w:rFonts w:hint="eastAsia" w:ascii="宋体" w:hAnsi="宋体" w:cs="宋体"/>
          <w:b/>
          <w:bCs/>
          <w:color w:val="auto"/>
          <w:sz w:val="32"/>
          <w:szCs w:val="32"/>
          <w:highlight w:val="none"/>
          <w:u w:val="single"/>
        </w:rPr>
        <w:t xml:space="preserve">                            </w:t>
      </w:r>
    </w:p>
    <w:p>
      <w:pPr>
        <w:ind w:firstLine="556" w:firstLineChars="265"/>
        <w:jc w:val="center"/>
        <w:rPr>
          <w:rFonts w:ascii="宋体" w:hAnsi="宋体" w:cs="宋体"/>
          <w:color w:val="auto"/>
          <w:szCs w:val="21"/>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556" w:firstLineChars="265"/>
        <w:jc w:val="center"/>
        <w:rPr>
          <w:rFonts w:ascii="宋体" w:hAnsi="宋体" w:cs="宋体"/>
          <w:color w:val="auto"/>
          <w:highlight w:val="none"/>
        </w:rPr>
      </w:pPr>
      <w:r>
        <w:rPr>
          <w:rFonts w:hint="eastAsia" w:ascii="宋体" w:hAnsi="宋体" w:cs="宋体"/>
          <w:color w:val="auto"/>
          <w:highlight w:val="none"/>
        </w:rPr>
        <w:t xml:space="preserve"> </w:t>
      </w:r>
    </w:p>
    <w:p>
      <w:pPr>
        <w:ind w:firstLine="742" w:firstLineChars="265"/>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签订合同地点：</w:t>
      </w:r>
      <w:r>
        <w:rPr>
          <w:rFonts w:hint="eastAsia" w:ascii="宋体" w:hAnsi="宋体" w:cs="宋体"/>
          <w:b/>
          <w:bCs/>
          <w:color w:val="auto"/>
          <w:sz w:val="32"/>
          <w:szCs w:val="32"/>
          <w:highlight w:val="none"/>
          <w:u w:val="single"/>
        </w:rPr>
        <w:t xml:space="preserve">                                </w:t>
      </w:r>
    </w:p>
    <w:p>
      <w:pPr>
        <w:ind w:firstLine="851" w:firstLineChars="265"/>
        <w:rPr>
          <w:rFonts w:ascii="宋体" w:hAnsi="宋体" w:cs="宋体"/>
          <w:b/>
          <w:bCs/>
          <w:color w:val="auto"/>
          <w:sz w:val="32"/>
          <w:szCs w:val="32"/>
          <w:highlight w:val="none"/>
        </w:rPr>
      </w:pPr>
    </w:p>
    <w:p>
      <w:pPr>
        <w:ind w:firstLine="851" w:firstLineChars="265"/>
        <w:rPr>
          <w:rFonts w:ascii="宋体" w:hAnsi="宋体" w:cs="宋体"/>
          <w:b/>
          <w:bCs/>
          <w:color w:val="auto"/>
          <w:sz w:val="32"/>
          <w:szCs w:val="32"/>
          <w:highlight w:val="none"/>
          <w:u w:val="single"/>
        </w:rPr>
      </w:pPr>
      <w:r>
        <w:rPr>
          <w:rFonts w:hint="eastAsia" w:ascii="宋体" w:hAnsi="宋体" w:cs="宋体"/>
          <w:b/>
          <w:bCs/>
          <w:color w:val="auto"/>
          <w:sz w:val="32"/>
          <w:szCs w:val="32"/>
          <w:highlight w:val="none"/>
        </w:rPr>
        <w:t>签订合同时间：</w:t>
      </w:r>
      <w:r>
        <w:rPr>
          <w:rFonts w:hint="eastAsia" w:ascii="宋体" w:hAnsi="宋体" w:cs="宋体"/>
          <w:b/>
          <w:bCs/>
          <w:color w:val="auto"/>
          <w:sz w:val="32"/>
          <w:szCs w:val="32"/>
          <w:highlight w:val="none"/>
          <w:u w:val="single"/>
        </w:rPr>
        <w:t xml:space="preserve">                                </w:t>
      </w:r>
    </w:p>
    <w:p>
      <w:pPr>
        <w:jc w:val="center"/>
        <w:rPr>
          <w:rFonts w:ascii="宋体" w:hAnsi="宋体" w:cs="宋体"/>
          <w:color w:val="auto"/>
          <w:szCs w:val="21"/>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t xml:space="preserve"> </w:t>
      </w:r>
    </w:p>
    <w:p>
      <w:pPr>
        <w:jc w:val="center"/>
        <w:rPr>
          <w:rFonts w:ascii="宋体" w:hAnsi="宋体" w:cs="宋体"/>
          <w:color w:val="auto"/>
          <w:highlight w:val="none"/>
        </w:rPr>
      </w:pPr>
      <w:r>
        <w:rPr>
          <w:rFonts w:hint="eastAsia" w:ascii="宋体" w:hAnsi="宋体" w:cs="宋体"/>
          <w:color w:val="auto"/>
          <w:highlight w:val="none"/>
        </w:rPr>
        <w:br w:type="page"/>
      </w:r>
    </w:p>
    <w:p>
      <w:pPr>
        <w:spacing w:line="300" w:lineRule="auto"/>
        <w:jc w:val="center"/>
        <w:rPr>
          <w:rFonts w:ascii="宋体" w:hAnsi="宋体" w:cs="宋体"/>
          <w:color w:val="auto"/>
          <w:highlight w:val="none"/>
        </w:rPr>
      </w:pPr>
      <w:r>
        <w:rPr>
          <w:rFonts w:hint="eastAsia" w:ascii="宋体" w:hAnsi="宋体" w:cs="宋体"/>
          <w:color w:val="auto"/>
          <w:highlight w:val="none"/>
        </w:rPr>
        <w:t xml:space="preserve"> </w:t>
      </w:r>
    </w:p>
    <w:p>
      <w:pPr>
        <w:snapToGrid w:val="0"/>
        <w:spacing w:line="3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广西壮族自治区政府采购合同</w:t>
      </w:r>
    </w:p>
    <w:p>
      <w:pPr>
        <w:snapToGrid w:val="0"/>
        <w:spacing w:line="360" w:lineRule="exact"/>
        <w:jc w:val="center"/>
        <w:rPr>
          <w:rFonts w:ascii="宋体" w:hAnsi="宋体" w:cs="宋体"/>
          <w:color w:val="auto"/>
          <w:szCs w:val="21"/>
          <w:highlight w:val="none"/>
        </w:rPr>
      </w:pPr>
      <w:r>
        <w:rPr>
          <w:rFonts w:hint="eastAsia" w:ascii="宋体" w:hAnsi="宋体" w:cs="宋体"/>
          <w:color w:val="auto"/>
          <w:highlight w:val="none"/>
        </w:rPr>
        <w:t xml:space="preserve"> </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采购计划号：</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 xml:space="preserve">   合同编号：</w:t>
      </w:r>
      <w:r>
        <w:rPr>
          <w:rFonts w:hint="eastAsia" w:ascii="宋体" w:hAnsi="宋体" w:cs="宋体"/>
          <w:color w:val="auto"/>
          <w:spacing w:val="5"/>
          <w:szCs w:val="21"/>
          <w:highlight w:val="none"/>
          <w:u w:val="single"/>
        </w:rPr>
        <w:t xml:space="preserve">                          </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采购人（甲方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10"/>
          <w:szCs w:val="21"/>
          <w:highlight w:val="none"/>
        </w:rPr>
        <w:t xml:space="preserve">   </w:t>
      </w:r>
      <w:r>
        <w:rPr>
          <w:rFonts w:hint="eastAsia" w:ascii="宋体" w:hAnsi="宋体" w:cs="宋体"/>
          <w:color w:val="auto"/>
          <w:spacing w:val="8"/>
          <w:szCs w:val="21"/>
          <w:highlight w:val="none"/>
        </w:rPr>
        <w:t>供应商（乙方</w:t>
      </w:r>
      <w:r>
        <w:rPr>
          <w:rFonts w:hint="eastAsia" w:ascii="宋体" w:hAnsi="宋体" w:cs="宋体"/>
          <w:color w:val="auto"/>
          <w:spacing w:val="11"/>
          <w:szCs w:val="21"/>
          <w:highlight w:val="none"/>
        </w:rPr>
        <w:t>）：</w:t>
      </w:r>
      <w:r>
        <w:rPr>
          <w:rFonts w:hint="eastAsia" w:ascii="宋体" w:hAnsi="宋体" w:cs="宋体"/>
          <w:color w:val="auto"/>
          <w:szCs w:val="21"/>
          <w:highlight w:val="none"/>
          <w:u w:val="single"/>
        </w:rPr>
        <w:t xml:space="preserve">                       </w:t>
      </w:r>
    </w:p>
    <w:p>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项目名称：</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项目编号：</w:t>
      </w:r>
      <w:r>
        <w:rPr>
          <w:rFonts w:hint="eastAsia" w:ascii="宋体" w:hAnsi="宋体" w:cs="宋体"/>
          <w:color w:val="auto"/>
          <w:spacing w:val="4"/>
          <w:szCs w:val="21"/>
          <w:highlight w:val="none"/>
          <w:u w:val="single"/>
        </w:rPr>
        <w:t xml:space="preserve">                            </w:t>
      </w:r>
    </w:p>
    <w:p>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签订地点：</w:t>
      </w:r>
      <w:r>
        <w:rPr>
          <w:rFonts w:hint="eastAsia" w:ascii="宋体" w:hAnsi="宋体" w:cs="宋体"/>
          <w:color w:val="auto"/>
          <w:spacing w:val="4"/>
          <w:szCs w:val="21"/>
          <w:highlight w:val="none"/>
          <w:u w:val="single"/>
        </w:rPr>
        <w:t xml:space="preserve">                           </w:t>
      </w:r>
      <w:r>
        <w:rPr>
          <w:rFonts w:hint="eastAsia" w:ascii="宋体" w:hAnsi="宋体" w:cs="宋体"/>
          <w:color w:val="auto"/>
          <w:spacing w:val="4"/>
          <w:szCs w:val="21"/>
          <w:highlight w:val="none"/>
        </w:rPr>
        <w:t xml:space="preserve">   签订时间：</w:t>
      </w:r>
      <w:r>
        <w:rPr>
          <w:rFonts w:hint="eastAsia" w:ascii="宋体" w:hAnsi="宋体" w:cs="宋体"/>
          <w:color w:val="auto"/>
          <w:spacing w:val="4"/>
          <w:szCs w:val="21"/>
          <w:highlight w:val="none"/>
          <w:u w:val="single"/>
        </w:rPr>
        <w:t xml:space="preserve">                            </w:t>
      </w:r>
    </w:p>
    <w:p>
      <w:pPr>
        <w:spacing w:line="360" w:lineRule="auto"/>
        <w:ind w:firstLine="420" w:firstLineChars="200"/>
        <w:rPr>
          <w:rFonts w:ascii="宋体" w:hAnsi="宋体" w:cs="宋体"/>
          <w:color w:val="auto"/>
          <w:szCs w:val="21"/>
          <w:highlight w:val="none"/>
        </w:rPr>
      </w:pPr>
    </w:p>
    <w:p>
      <w:pPr>
        <w:pStyle w:val="19"/>
        <w:spacing w:after="0" w:line="360" w:lineRule="auto"/>
        <w:ind w:firstLine="452" w:firstLineChars="200"/>
        <w:jc w:val="right"/>
        <w:rPr>
          <w:rFonts w:ascii="宋体" w:hAnsi="宋体" w:cs="宋体"/>
          <w:color w:val="auto"/>
          <w:szCs w:val="21"/>
          <w:highlight w:val="none"/>
        </w:rPr>
      </w:pPr>
      <w:r>
        <w:rPr>
          <w:rFonts w:hint="eastAsia" w:ascii="宋体" w:hAnsi="宋体" w:cs="宋体"/>
          <w:color w:val="auto"/>
          <w:spacing w:val="8"/>
          <w:szCs w:val="21"/>
          <w:highlight w:val="none"/>
        </w:rPr>
        <w:t>根据《中华人民共和国民法典》等法律、法规规定，按照采购文件规定条款和成交供应商响</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应文件及其承诺，</w:t>
      </w:r>
      <w:r>
        <w:rPr>
          <w:rFonts w:hint="eastAsia" w:ascii="宋体" w:hAnsi="宋体" w:cs="宋体"/>
          <w:color w:val="auto"/>
          <w:spacing w:val="-49"/>
          <w:szCs w:val="21"/>
          <w:highlight w:val="none"/>
        </w:rPr>
        <w:t xml:space="preserve"> </w:t>
      </w:r>
      <w:r>
        <w:rPr>
          <w:rFonts w:hint="eastAsia" w:ascii="宋体" w:hAnsi="宋体" w:cs="宋体"/>
          <w:color w:val="auto"/>
          <w:spacing w:val="6"/>
          <w:szCs w:val="21"/>
          <w:highlight w:val="none"/>
        </w:rPr>
        <w:t>甲乙双方签订本合同。</w:t>
      </w:r>
    </w:p>
    <w:p>
      <w:pPr>
        <w:pStyle w:val="19"/>
        <w:spacing w:after="0" w:line="360" w:lineRule="auto"/>
        <w:ind w:firstLine="446" w:firstLineChars="200"/>
        <w:outlineLvl w:val="1"/>
        <w:rPr>
          <w:rFonts w:ascii="宋体" w:hAnsi="宋体" w:cs="宋体"/>
          <w:b/>
          <w:bCs/>
          <w:color w:val="auto"/>
          <w:spacing w:val="6"/>
          <w:szCs w:val="21"/>
          <w:highlight w:val="none"/>
        </w:rPr>
      </w:pPr>
      <w:r>
        <w:rPr>
          <w:rFonts w:hint="eastAsia" w:ascii="宋体" w:hAnsi="宋体" w:cs="宋体"/>
          <w:b/>
          <w:bCs/>
          <w:color w:val="auto"/>
          <w:spacing w:val="6"/>
          <w:szCs w:val="21"/>
          <w:highlight w:val="none"/>
        </w:rPr>
        <w:t xml:space="preserve">第一条  </w:t>
      </w:r>
      <w:r>
        <w:rPr>
          <w:rFonts w:hint="eastAsia" w:ascii="宋体" w:hAnsi="宋体" w:cs="宋体"/>
          <w:color w:val="auto"/>
          <w:spacing w:val="6"/>
          <w:szCs w:val="21"/>
          <w:highlight w:val="none"/>
        </w:rPr>
        <w:t>合同标的</w:t>
      </w:r>
    </w:p>
    <w:p>
      <w:pPr>
        <w:pStyle w:val="19"/>
        <w:spacing w:after="0" w:line="360" w:lineRule="auto"/>
        <w:ind w:firstLine="432" w:firstLineChars="200"/>
        <w:rPr>
          <w:rFonts w:ascii="宋体" w:hAnsi="宋体" w:cs="宋体"/>
          <w:color w:val="auto"/>
          <w:szCs w:val="21"/>
          <w:highlight w:val="none"/>
        </w:rPr>
      </w:pPr>
      <w:r>
        <w:rPr>
          <w:rFonts w:hint="eastAsia" w:ascii="宋体" w:hAnsi="宋体" w:cs="宋体"/>
          <w:color w:val="auto"/>
          <w:spacing w:val="3"/>
          <w:szCs w:val="21"/>
          <w:highlight w:val="none"/>
        </w:rPr>
        <w:t>1、服务名称：</w:t>
      </w:r>
      <w:r>
        <w:rPr>
          <w:rFonts w:hint="eastAsia" w:ascii="宋体" w:hAnsi="宋体" w:cs="宋体"/>
          <w:color w:val="auto"/>
          <w:spacing w:val="1"/>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pacing w:val="3"/>
          <w:szCs w:val="21"/>
          <w:highlight w:val="none"/>
        </w:rPr>
        <w:t>。</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2、服务数量：</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pPr>
        <w:pStyle w:val="19"/>
        <w:spacing w:after="0" w:line="360" w:lineRule="auto"/>
        <w:ind w:firstLine="436" w:firstLineChars="200"/>
        <w:rPr>
          <w:rFonts w:ascii="宋体" w:hAnsi="宋体" w:cs="宋体"/>
          <w:color w:val="auto"/>
          <w:szCs w:val="21"/>
          <w:highlight w:val="none"/>
        </w:rPr>
      </w:pPr>
      <w:r>
        <w:rPr>
          <w:rFonts w:hint="eastAsia" w:ascii="宋体" w:hAnsi="宋体" w:cs="宋体"/>
          <w:color w:val="auto"/>
          <w:spacing w:val="4"/>
          <w:szCs w:val="21"/>
          <w:highlight w:val="none"/>
        </w:rPr>
        <w:t>3、服务内容：</w:t>
      </w:r>
    </w:p>
    <w:tbl>
      <w:tblPr>
        <w:tblStyle w:val="216"/>
        <w:tblW w:w="87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3341"/>
        <w:gridCol w:w="708"/>
        <w:gridCol w:w="850"/>
        <w:gridCol w:w="1558"/>
        <w:gridCol w:w="15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22" w:type="dxa"/>
            <w:vAlign w:val="center"/>
          </w:tcPr>
          <w:p>
            <w:pPr>
              <w:pStyle w:val="215"/>
              <w:spacing w:line="360" w:lineRule="auto"/>
              <w:jc w:val="center"/>
              <w:rPr>
                <w:color w:val="auto"/>
                <w:sz w:val="21"/>
                <w:szCs w:val="21"/>
                <w:highlight w:val="none"/>
              </w:rPr>
            </w:pPr>
            <w:r>
              <w:rPr>
                <w:rFonts w:hint="eastAsia"/>
                <w:color w:val="auto"/>
                <w:spacing w:val="4"/>
                <w:sz w:val="21"/>
                <w:szCs w:val="21"/>
                <w:highlight w:val="none"/>
              </w:rPr>
              <w:t>序号</w:t>
            </w:r>
          </w:p>
        </w:tc>
        <w:tc>
          <w:tcPr>
            <w:tcW w:w="3341" w:type="dxa"/>
            <w:vAlign w:val="center"/>
          </w:tcPr>
          <w:p>
            <w:pPr>
              <w:pStyle w:val="215"/>
              <w:spacing w:line="360" w:lineRule="auto"/>
              <w:jc w:val="center"/>
              <w:rPr>
                <w:color w:val="auto"/>
                <w:sz w:val="21"/>
                <w:szCs w:val="21"/>
                <w:highlight w:val="none"/>
              </w:rPr>
            </w:pPr>
            <w:r>
              <w:rPr>
                <w:rFonts w:hint="eastAsia"/>
                <w:color w:val="auto"/>
                <w:spacing w:val="6"/>
                <w:sz w:val="21"/>
                <w:szCs w:val="21"/>
                <w:highlight w:val="none"/>
              </w:rPr>
              <w:t>服务内容</w:t>
            </w:r>
          </w:p>
        </w:tc>
        <w:tc>
          <w:tcPr>
            <w:tcW w:w="708" w:type="dxa"/>
            <w:vAlign w:val="center"/>
          </w:tcPr>
          <w:p>
            <w:pPr>
              <w:pStyle w:val="215"/>
              <w:spacing w:line="360" w:lineRule="auto"/>
              <w:jc w:val="center"/>
              <w:rPr>
                <w:color w:val="auto"/>
                <w:sz w:val="21"/>
                <w:szCs w:val="21"/>
                <w:highlight w:val="none"/>
              </w:rPr>
            </w:pPr>
            <w:r>
              <w:rPr>
                <w:rFonts w:hint="eastAsia"/>
                <w:color w:val="auto"/>
                <w:spacing w:val="3"/>
                <w:sz w:val="21"/>
                <w:szCs w:val="21"/>
                <w:highlight w:val="none"/>
              </w:rPr>
              <w:t>数量</w:t>
            </w:r>
          </w:p>
        </w:tc>
        <w:tc>
          <w:tcPr>
            <w:tcW w:w="850" w:type="dxa"/>
            <w:vAlign w:val="center"/>
          </w:tcPr>
          <w:p>
            <w:pPr>
              <w:pStyle w:val="215"/>
              <w:spacing w:line="360" w:lineRule="auto"/>
              <w:jc w:val="center"/>
              <w:rPr>
                <w:color w:val="auto"/>
                <w:sz w:val="21"/>
                <w:szCs w:val="21"/>
                <w:highlight w:val="none"/>
              </w:rPr>
            </w:pPr>
            <w:r>
              <w:rPr>
                <w:rFonts w:hint="eastAsia"/>
                <w:color w:val="auto"/>
                <w:spacing w:val="3"/>
                <w:sz w:val="21"/>
                <w:szCs w:val="21"/>
                <w:highlight w:val="none"/>
              </w:rPr>
              <w:t>单位</w:t>
            </w:r>
          </w:p>
        </w:tc>
        <w:tc>
          <w:tcPr>
            <w:tcW w:w="1558" w:type="dxa"/>
            <w:vAlign w:val="center"/>
          </w:tcPr>
          <w:p>
            <w:pPr>
              <w:pStyle w:val="215"/>
              <w:spacing w:line="360" w:lineRule="auto"/>
              <w:jc w:val="center"/>
              <w:rPr>
                <w:color w:val="auto"/>
                <w:sz w:val="21"/>
                <w:szCs w:val="21"/>
                <w:highlight w:val="none"/>
              </w:rPr>
            </w:pPr>
            <w:r>
              <w:rPr>
                <w:rFonts w:hint="eastAsia"/>
                <w:color w:val="auto"/>
                <w:spacing w:val="-2"/>
                <w:sz w:val="21"/>
                <w:szCs w:val="21"/>
                <w:highlight w:val="none"/>
              </w:rPr>
              <w:t>单价（元）</w:t>
            </w:r>
          </w:p>
        </w:tc>
        <w:tc>
          <w:tcPr>
            <w:tcW w:w="1590" w:type="dxa"/>
            <w:vAlign w:val="center"/>
          </w:tcPr>
          <w:p>
            <w:pPr>
              <w:pStyle w:val="215"/>
              <w:spacing w:line="360" w:lineRule="auto"/>
              <w:jc w:val="center"/>
              <w:rPr>
                <w:color w:val="auto"/>
                <w:sz w:val="21"/>
                <w:szCs w:val="21"/>
                <w:highlight w:val="none"/>
              </w:rPr>
            </w:pPr>
            <w:r>
              <w:rPr>
                <w:rFonts w:hint="eastAsia"/>
                <w:color w:val="auto"/>
                <w:spacing w:val="4"/>
                <w:sz w:val="21"/>
                <w:szCs w:val="21"/>
                <w:highlight w:val="none"/>
              </w:rPr>
              <w:t>合价（元）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22" w:type="dxa"/>
            <w:vAlign w:val="center"/>
          </w:tcPr>
          <w:p>
            <w:pPr>
              <w:pStyle w:val="215"/>
              <w:spacing w:line="360" w:lineRule="auto"/>
              <w:jc w:val="center"/>
              <w:rPr>
                <w:color w:val="auto"/>
                <w:sz w:val="21"/>
                <w:szCs w:val="21"/>
                <w:highlight w:val="none"/>
              </w:rPr>
            </w:pPr>
            <w:r>
              <w:rPr>
                <w:rFonts w:hint="eastAsia"/>
                <w:color w:val="auto"/>
                <w:sz w:val="21"/>
                <w:szCs w:val="21"/>
                <w:highlight w:val="none"/>
              </w:rPr>
              <w:t>1</w:t>
            </w:r>
          </w:p>
        </w:tc>
        <w:tc>
          <w:tcPr>
            <w:tcW w:w="3341" w:type="dxa"/>
            <w:vAlign w:val="center"/>
          </w:tcPr>
          <w:p>
            <w:pPr>
              <w:spacing w:line="360" w:lineRule="auto"/>
              <w:jc w:val="center"/>
              <w:rPr>
                <w:rFonts w:ascii="宋体" w:hAnsi="宋体" w:cs="宋体"/>
                <w:color w:val="auto"/>
                <w:szCs w:val="21"/>
                <w:highlight w:val="none"/>
              </w:rPr>
            </w:pPr>
          </w:p>
        </w:tc>
        <w:tc>
          <w:tcPr>
            <w:tcW w:w="708" w:type="dxa"/>
            <w:vAlign w:val="center"/>
          </w:tcPr>
          <w:p>
            <w:pPr>
              <w:spacing w:line="360" w:lineRule="auto"/>
              <w:jc w:val="center"/>
              <w:rPr>
                <w:rFonts w:ascii="宋体" w:hAnsi="宋体" w:cs="宋体"/>
                <w:color w:val="auto"/>
                <w:szCs w:val="21"/>
                <w:highlight w:val="none"/>
              </w:rPr>
            </w:pPr>
          </w:p>
        </w:tc>
        <w:tc>
          <w:tcPr>
            <w:tcW w:w="850" w:type="dxa"/>
            <w:vAlign w:val="center"/>
          </w:tcPr>
          <w:p>
            <w:pPr>
              <w:spacing w:line="360" w:lineRule="auto"/>
              <w:jc w:val="center"/>
              <w:rPr>
                <w:rFonts w:ascii="宋体" w:hAnsi="宋体" w:cs="宋体"/>
                <w:color w:val="auto"/>
                <w:szCs w:val="21"/>
                <w:highlight w:val="none"/>
              </w:rPr>
            </w:pPr>
          </w:p>
        </w:tc>
        <w:tc>
          <w:tcPr>
            <w:tcW w:w="1558" w:type="dxa"/>
            <w:vAlign w:val="center"/>
          </w:tcPr>
          <w:p>
            <w:pPr>
              <w:spacing w:line="360" w:lineRule="auto"/>
              <w:jc w:val="center"/>
              <w:rPr>
                <w:rFonts w:ascii="宋体" w:hAnsi="宋体" w:cs="宋体"/>
                <w:color w:val="auto"/>
                <w:szCs w:val="21"/>
                <w:highlight w:val="none"/>
              </w:rPr>
            </w:pPr>
          </w:p>
        </w:tc>
        <w:tc>
          <w:tcPr>
            <w:tcW w:w="1590" w:type="dxa"/>
            <w:vAlign w:val="center"/>
          </w:tcPr>
          <w:p>
            <w:pPr>
              <w:spacing w:line="360" w:lineRule="auto"/>
              <w:jc w:val="center"/>
              <w:rPr>
                <w:rFonts w:ascii="宋体" w:hAnsi="宋体" w:cs="宋体"/>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769" w:type="dxa"/>
            <w:gridSpan w:val="6"/>
            <w:vAlign w:val="center"/>
          </w:tcPr>
          <w:p>
            <w:pPr>
              <w:pStyle w:val="215"/>
              <w:spacing w:line="360" w:lineRule="auto"/>
              <w:rPr>
                <w:color w:val="auto"/>
                <w:sz w:val="21"/>
                <w:szCs w:val="21"/>
                <w:highlight w:val="none"/>
                <w:lang w:eastAsia="zh-CN"/>
              </w:rPr>
            </w:pPr>
            <w:r>
              <w:rPr>
                <w:rFonts w:hint="eastAsia"/>
                <w:color w:val="auto"/>
                <w:spacing w:val="6"/>
                <w:sz w:val="21"/>
                <w:szCs w:val="21"/>
                <w:highlight w:val="none"/>
                <w:lang w:eastAsia="zh-CN"/>
              </w:rPr>
              <w:t>成交金额（人民币大写</w:t>
            </w:r>
            <w:r>
              <w:rPr>
                <w:rFonts w:hint="eastAsia"/>
                <w:color w:val="auto"/>
                <w:spacing w:val="8"/>
                <w:sz w:val="21"/>
                <w:szCs w:val="21"/>
                <w:highlight w:val="none"/>
                <w:lang w:eastAsia="zh-CN"/>
              </w:rPr>
              <w:t>）：</w:t>
            </w:r>
            <w:r>
              <w:rPr>
                <w:rFonts w:hint="eastAsia"/>
                <w:color w:val="auto"/>
                <w:sz w:val="21"/>
                <w:szCs w:val="21"/>
                <w:highlight w:val="none"/>
                <w:lang w:eastAsia="zh-CN"/>
              </w:rPr>
              <w:t xml:space="preserve">                    </w:t>
            </w:r>
            <w:r>
              <w:rPr>
                <w:rFonts w:hint="eastAsia"/>
                <w:color w:val="auto"/>
                <w:spacing w:val="6"/>
                <w:sz w:val="21"/>
                <w:szCs w:val="21"/>
                <w:highlight w:val="none"/>
                <w:lang w:eastAsia="zh-CN"/>
              </w:rPr>
              <w:t>(¥</w:t>
            </w:r>
            <w:r>
              <w:rPr>
                <w:rFonts w:hint="eastAsia"/>
                <w:color w:val="auto"/>
                <w:spacing w:val="9"/>
                <w:sz w:val="21"/>
                <w:szCs w:val="21"/>
                <w:highlight w:val="none"/>
                <w:lang w:eastAsia="zh-CN"/>
              </w:rPr>
              <w:t xml:space="preserve">           </w:t>
            </w:r>
            <w:r>
              <w:rPr>
                <w:rFonts w:hint="eastAsia"/>
                <w:color w:val="auto"/>
                <w:spacing w:val="6"/>
                <w:sz w:val="21"/>
                <w:szCs w:val="21"/>
                <w:highlight w:val="none"/>
                <w:lang w:eastAsia="zh-CN"/>
              </w:rPr>
              <w:t>)</w:t>
            </w:r>
          </w:p>
        </w:tc>
      </w:tr>
    </w:tbl>
    <w:p>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 xml:space="preserve">第二条  </w:t>
      </w:r>
      <w:r>
        <w:rPr>
          <w:rFonts w:hint="eastAsia" w:ascii="宋体" w:hAnsi="宋体" w:cs="宋体"/>
          <w:color w:val="auto"/>
          <w:spacing w:val="6"/>
          <w:szCs w:val="21"/>
          <w:highlight w:val="none"/>
        </w:rPr>
        <w:t>合同金额</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本项目合同金额人民币</w:t>
      </w:r>
      <w:r>
        <w:rPr>
          <w:rFonts w:hint="eastAsia" w:ascii="宋体" w:hAnsi="宋体" w:cs="宋体"/>
          <w:color w:val="auto"/>
          <w:spacing w:val="-98"/>
          <w:szCs w:val="21"/>
          <w:highlight w:val="none"/>
        </w:rPr>
        <w:t xml:space="preserve"> </w:t>
      </w:r>
      <w:r>
        <w:rPr>
          <w:rFonts w:hint="eastAsia" w:ascii="宋体" w:hAnsi="宋体" w:cs="宋体"/>
          <w:color w:val="auto"/>
          <w:spacing w:val="6"/>
          <w:szCs w:val="21"/>
          <w:highlight w:val="none"/>
          <w:u w:val="single"/>
        </w:rPr>
        <w:t xml:space="preserve">                         </w:t>
      </w:r>
      <w:r>
        <w:rPr>
          <w:rFonts w:hint="eastAsia" w:ascii="宋体" w:hAnsi="宋体" w:cs="宋体"/>
          <w:color w:val="auto"/>
          <w:spacing w:val="5"/>
          <w:szCs w:val="21"/>
          <w:highlight w:val="none"/>
          <w:u w:val="single"/>
        </w:rPr>
        <w:t xml:space="preserve">               </w:t>
      </w:r>
      <w:r>
        <w:rPr>
          <w:rFonts w:hint="eastAsia" w:ascii="宋体" w:hAnsi="宋体" w:cs="宋体"/>
          <w:color w:val="auto"/>
          <w:spacing w:val="5"/>
          <w:szCs w:val="21"/>
          <w:highlight w:val="none"/>
        </w:rPr>
        <w:t>。</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该合同金额已包括了实施和完成本项目全部服务所需的安装费（包括但不限于各类软件、系统等的安装、集成、试运行等费用）、培训费（包括但不限于场地费、教材等）、人工费、交通费、住宿费、伙食补助费、其他费用（包括但不限于硬件设备采购的费用、运输、装卸、软件部署、调试、培训、技术支持、售后服务、检测等费用）、整体验收各项费用、必要的保险费和税</w:t>
      </w:r>
      <w:r>
        <w:rPr>
          <w:rFonts w:hint="eastAsia" w:ascii="宋体" w:hAnsi="宋体" w:cs="宋体"/>
          <w:color w:val="auto"/>
          <w:spacing w:val="9"/>
          <w:szCs w:val="21"/>
          <w:highlight w:val="none"/>
        </w:rPr>
        <w:t>费等，服务有关一切费用和政策性文件规定及合同包含的风险、责任和各种应有的费用。</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第三条 </w:t>
      </w:r>
      <w:r>
        <w:rPr>
          <w:rFonts w:hint="eastAsia" w:ascii="宋体" w:hAnsi="宋体" w:cs="宋体"/>
          <w:color w:val="auto"/>
          <w:spacing w:val="7"/>
          <w:szCs w:val="21"/>
          <w:highlight w:val="none"/>
        </w:rPr>
        <w:t xml:space="preserve"> 服务期限及地点</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1、合同履行期限</w:t>
      </w:r>
      <w:r>
        <w:rPr>
          <w:rFonts w:hint="eastAsia" w:ascii="宋体" w:hAnsi="宋体" w:cs="宋体"/>
          <w:color w:val="auto"/>
          <w:spacing w:val="8"/>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8"/>
          <w:szCs w:val="21"/>
          <w:highlight w:val="none"/>
        </w:rPr>
        <w:t>；</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2、服务地点</w:t>
      </w:r>
      <w:r>
        <w:rPr>
          <w:rFonts w:hint="eastAsia" w:ascii="宋体" w:hAnsi="宋体" w:cs="宋体"/>
          <w:color w:val="auto"/>
          <w:spacing w:val="6"/>
          <w:szCs w:val="21"/>
          <w:highlight w:val="none"/>
        </w:rPr>
        <w:t>：</w:t>
      </w:r>
      <w:r>
        <w:rPr>
          <w:rFonts w:hint="eastAsia" w:ascii="宋体" w:hAnsi="宋体" w:cs="宋体"/>
          <w:color w:val="auto"/>
          <w:spacing w:val="2"/>
          <w:szCs w:val="21"/>
          <w:highlight w:val="none"/>
          <w:u w:val="single"/>
        </w:rPr>
        <w:t xml:space="preserve">                                 </w:t>
      </w:r>
      <w:r>
        <w:rPr>
          <w:rFonts w:hint="eastAsia" w:ascii="宋体" w:hAnsi="宋体" w:cs="宋体"/>
          <w:color w:val="auto"/>
          <w:spacing w:val="17"/>
          <w:szCs w:val="21"/>
          <w:highlight w:val="none"/>
        </w:rPr>
        <w:t xml:space="preserve"> </w:t>
      </w:r>
      <w:r>
        <w:rPr>
          <w:rFonts w:hint="eastAsia" w:ascii="宋体" w:hAnsi="宋体" w:cs="宋体"/>
          <w:color w:val="auto"/>
          <w:spacing w:val="6"/>
          <w:szCs w:val="21"/>
          <w:highlight w:val="none"/>
        </w:rPr>
        <w:t>；</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3、乙方所提供的服务必须与采购文件和承诺相一致且符合相应的服务规范及标准。</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第四条  </w:t>
      </w:r>
      <w:r>
        <w:rPr>
          <w:rFonts w:hint="eastAsia" w:ascii="宋体" w:hAnsi="宋体" w:cs="宋体"/>
          <w:color w:val="auto"/>
          <w:spacing w:val="7"/>
          <w:szCs w:val="21"/>
          <w:highlight w:val="none"/>
        </w:rPr>
        <w:t>售后服务、质保期</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1、乙方应按照国家有关法律法规和“三包</w:t>
      </w:r>
      <w:r>
        <w:rPr>
          <w:rFonts w:hint="eastAsia" w:ascii="宋体" w:hAnsi="宋体" w:cs="宋体"/>
          <w:color w:val="auto"/>
          <w:spacing w:val="-70"/>
          <w:szCs w:val="21"/>
          <w:highlight w:val="none"/>
        </w:rPr>
        <w:t xml:space="preserve"> </w:t>
      </w:r>
      <w:r>
        <w:rPr>
          <w:rFonts w:hint="eastAsia" w:ascii="宋体" w:hAnsi="宋体" w:cs="宋体"/>
          <w:color w:val="auto"/>
          <w:spacing w:val="10"/>
          <w:szCs w:val="21"/>
          <w:highlight w:val="none"/>
        </w:rPr>
        <w:t>”规定以及采</w:t>
      </w:r>
      <w:r>
        <w:rPr>
          <w:rFonts w:hint="eastAsia" w:ascii="宋体" w:hAnsi="宋体" w:cs="宋体"/>
          <w:color w:val="auto"/>
          <w:spacing w:val="9"/>
          <w:szCs w:val="21"/>
          <w:highlight w:val="none"/>
        </w:rPr>
        <w:t>购文件、响应文件和本合同所附的</w:t>
      </w:r>
      <w:r>
        <w:rPr>
          <w:rFonts w:hint="eastAsia" w:ascii="宋体" w:hAnsi="宋体" w:cs="宋体"/>
          <w:color w:val="auto"/>
          <w:szCs w:val="21"/>
          <w:highlight w:val="none"/>
        </w:rPr>
        <w:t xml:space="preserve"> </w:t>
      </w:r>
      <w:r>
        <w:rPr>
          <w:rFonts w:hint="eastAsia" w:ascii="宋体" w:hAnsi="宋体" w:cs="宋体"/>
          <w:color w:val="auto"/>
          <w:spacing w:val="8"/>
          <w:szCs w:val="21"/>
          <w:highlight w:val="none"/>
        </w:rPr>
        <w:t>《服务承诺》，为甲方提供售后服务。</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2、乙方提供的服务承诺、质保期及其他具体约定事项。（见合同附件）</w:t>
      </w:r>
    </w:p>
    <w:p>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 xml:space="preserve">第五条 </w:t>
      </w:r>
      <w:r>
        <w:rPr>
          <w:rFonts w:hint="eastAsia" w:ascii="宋体" w:hAnsi="宋体" w:cs="宋体"/>
          <w:color w:val="auto"/>
          <w:spacing w:val="6"/>
          <w:szCs w:val="21"/>
          <w:highlight w:val="none"/>
        </w:rPr>
        <w:t xml:space="preserve"> 付款方式</w:t>
      </w:r>
    </w:p>
    <w:p>
      <w:pPr>
        <w:pStyle w:val="19"/>
        <w:spacing w:after="0" w:line="360" w:lineRule="auto"/>
        <w:ind w:firstLine="416" w:firstLineChars="200"/>
        <w:rPr>
          <w:rFonts w:ascii="宋体" w:hAnsi="宋体" w:cs="宋体"/>
          <w:color w:val="auto"/>
          <w:szCs w:val="21"/>
          <w:highlight w:val="none"/>
        </w:rPr>
      </w:pPr>
      <w:r>
        <w:rPr>
          <w:rFonts w:hint="eastAsia" w:ascii="宋体" w:hAnsi="宋体" w:cs="宋体"/>
          <w:color w:val="auto"/>
          <w:spacing w:val="-1"/>
          <w:szCs w:val="21"/>
          <w:highlight w:val="none"/>
          <w:u w:val="single"/>
          <w:lang w:val="en-US" w:eastAsia="zh-CN"/>
        </w:rPr>
        <w:t xml:space="preserve">          </w:t>
      </w:r>
      <w:r>
        <w:rPr>
          <w:rFonts w:hint="eastAsia" w:ascii="宋体" w:hAnsi="宋体" w:cs="宋体"/>
          <w:color w:val="auto"/>
          <w:spacing w:val="-1"/>
          <w:szCs w:val="21"/>
          <w:highlight w:val="none"/>
        </w:rPr>
        <w:t>。</w:t>
      </w:r>
    </w:p>
    <w:p>
      <w:pPr>
        <w:pStyle w:val="19"/>
        <w:spacing w:after="0" w:line="360" w:lineRule="auto"/>
        <w:ind w:firstLine="446" w:firstLineChars="200"/>
        <w:rPr>
          <w:rFonts w:ascii="宋体" w:hAnsi="宋体" w:cs="宋体"/>
          <w:color w:val="auto"/>
          <w:szCs w:val="21"/>
          <w:highlight w:val="none"/>
        </w:rPr>
      </w:pPr>
      <w:r>
        <w:rPr>
          <w:rFonts w:hint="eastAsia" w:ascii="宋体" w:hAnsi="宋体" w:cs="宋体"/>
          <w:b/>
          <w:bCs/>
          <w:color w:val="auto"/>
          <w:spacing w:val="6"/>
          <w:szCs w:val="21"/>
          <w:highlight w:val="none"/>
        </w:rPr>
        <w:t>第六条</w:t>
      </w:r>
      <w:r>
        <w:rPr>
          <w:rFonts w:hint="eastAsia" w:ascii="宋体" w:hAnsi="宋体" w:cs="宋体"/>
          <w:color w:val="auto"/>
          <w:spacing w:val="6"/>
          <w:szCs w:val="21"/>
          <w:highlight w:val="none"/>
        </w:rPr>
        <w:t xml:space="preserve">  履约保证金：</w:t>
      </w:r>
      <w:r>
        <w:rPr>
          <w:rFonts w:hint="eastAsia" w:ascii="宋体" w:hAnsi="宋体" w:cs="宋体"/>
          <w:color w:val="auto"/>
          <w:spacing w:val="7"/>
          <w:szCs w:val="21"/>
          <w:highlight w:val="none"/>
          <w:u w:val="single"/>
        </w:rPr>
        <w:t xml:space="preserve">    </w:t>
      </w:r>
      <w:r>
        <w:rPr>
          <w:rFonts w:hint="eastAsia" w:ascii="宋体" w:hAnsi="宋体" w:cs="宋体"/>
          <w:color w:val="auto"/>
          <w:spacing w:val="6"/>
          <w:szCs w:val="21"/>
          <w:highlight w:val="none"/>
          <w:u w:val="single"/>
        </w:rPr>
        <w:t>/</w:t>
      </w:r>
      <w:r>
        <w:rPr>
          <w:rFonts w:hint="eastAsia" w:ascii="宋体" w:hAnsi="宋体" w:cs="宋体"/>
          <w:color w:val="auto"/>
          <w:szCs w:val="21"/>
          <w:highlight w:val="none"/>
          <w:u w:val="single"/>
        </w:rPr>
        <w:t xml:space="preserve">      </w:t>
      </w:r>
    </w:p>
    <w:p>
      <w:pPr>
        <w:pStyle w:val="19"/>
        <w:spacing w:after="0" w:line="360" w:lineRule="auto"/>
        <w:ind w:firstLine="450" w:firstLineChars="200"/>
        <w:rPr>
          <w:rFonts w:hint="eastAsia" w:ascii="宋体" w:hAnsi="宋体" w:cs="宋体"/>
          <w:color w:val="auto"/>
          <w:szCs w:val="21"/>
          <w:highlight w:val="none"/>
        </w:rPr>
      </w:pPr>
      <w:r>
        <w:rPr>
          <w:rFonts w:hint="eastAsia" w:ascii="宋体" w:hAnsi="宋体" w:cs="宋体"/>
          <w:b/>
          <w:bCs/>
          <w:color w:val="auto"/>
          <w:spacing w:val="7"/>
          <w:szCs w:val="21"/>
          <w:highlight w:val="none"/>
        </w:rPr>
        <w:t>第七条</w:t>
      </w:r>
      <w:r>
        <w:rPr>
          <w:rFonts w:hint="eastAsia" w:ascii="宋体" w:hAnsi="宋体" w:cs="宋体"/>
          <w:color w:val="auto"/>
          <w:spacing w:val="7"/>
          <w:szCs w:val="21"/>
          <w:highlight w:val="none"/>
        </w:rPr>
        <w:t xml:space="preserve">  税费本合同执行中相关的一切税费均由乙</w:t>
      </w:r>
      <w:r>
        <w:rPr>
          <w:rFonts w:hint="eastAsia" w:ascii="宋体" w:hAnsi="宋体" w:cs="宋体"/>
          <w:color w:val="auto"/>
          <w:spacing w:val="6"/>
          <w:szCs w:val="21"/>
          <w:highlight w:val="none"/>
        </w:rPr>
        <w:t>方负担。</w:t>
      </w:r>
      <w:r>
        <w:rPr>
          <w:rFonts w:hint="eastAsia" w:ascii="宋体" w:hAnsi="宋体" w:cs="宋体"/>
          <w:color w:val="auto"/>
          <w:szCs w:val="21"/>
          <w:highlight w:val="none"/>
        </w:rPr>
        <w:t xml:space="preserve"> </w:t>
      </w:r>
    </w:p>
    <w:p>
      <w:pPr>
        <w:pStyle w:val="19"/>
        <w:spacing w:after="0" w:line="360" w:lineRule="auto"/>
        <w:ind w:firstLine="450" w:firstLineChars="200"/>
        <w:rPr>
          <w:rFonts w:ascii="宋体" w:hAnsi="宋体" w:cs="宋体"/>
          <w:color w:val="auto"/>
          <w:szCs w:val="21"/>
          <w:highlight w:val="none"/>
        </w:rPr>
      </w:pPr>
      <w:r>
        <w:rPr>
          <w:rFonts w:hint="eastAsia" w:ascii="宋体" w:hAnsi="宋体" w:cs="宋体"/>
          <w:b/>
          <w:bCs/>
          <w:color w:val="auto"/>
          <w:spacing w:val="7"/>
          <w:szCs w:val="21"/>
          <w:highlight w:val="none"/>
        </w:rPr>
        <w:t>第八条</w:t>
      </w:r>
      <w:r>
        <w:rPr>
          <w:rFonts w:hint="eastAsia" w:ascii="宋体" w:hAnsi="宋体" w:cs="宋体"/>
          <w:color w:val="auto"/>
          <w:spacing w:val="9"/>
          <w:szCs w:val="21"/>
          <w:highlight w:val="none"/>
        </w:rPr>
        <w:t xml:space="preserve">  </w:t>
      </w:r>
      <w:r>
        <w:rPr>
          <w:rFonts w:hint="eastAsia" w:ascii="宋体" w:hAnsi="宋体" w:cs="宋体"/>
          <w:color w:val="auto"/>
          <w:spacing w:val="5"/>
          <w:szCs w:val="21"/>
          <w:highlight w:val="none"/>
        </w:rPr>
        <w:t>验收</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1.甲方对乙方提交的服务依据采购文件上的服务要求和国家有关质量标准进行现场初步验收，符合采购文件技术要求的，给予签收，初步验收不合格的不予签收。甲方应当在服务期满十</w:t>
      </w:r>
      <w:r>
        <w:rPr>
          <w:rFonts w:hint="eastAsia" w:ascii="宋体" w:hAnsi="宋体" w:cs="宋体"/>
          <w:color w:val="auto"/>
          <w:spacing w:val="7"/>
          <w:szCs w:val="21"/>
          <w:highlight w:val="none"/>
        </w:rPr>
        <w:t>五个工作日内进行验收。</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2.乙方提交服务成果前应对提交的服务成果作出全面检查和对验收文件</w:t>
      </w:r>
      <w:r>
        <w:rPr>
          <w:rFonts w:hint="eastAsia" w:ascii="宋体" w:hAnsi="宋体" w:cs="宋体"/>
          <w:color w:val="auto"/>
          <w:spacing w:val="9"/>
          <w:szCs w:val="21"/>
          <w:highlight w:val="none"/>
        </w:rPr>
        <w:t>进行整理，并列出清单，作为甲方验收和使用的技术条件依据，检验的结果应随服务成果交给甲方。</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3.对技术复杂的服务，甲方应请国家认可的专业检测机构参与初步验收及最终验收，并由</w:t>
      </w:r>
      <w:r>
        <w:rPr>
          <w:rFonts w:hint="eastAsia" w:ascii="宋体" w:hAnsi="宋体" w:cs="宋体"/>
          <w:color w:val="auto"/>
          <w:spacing w:val="7"/>
          <w:szCs w:val="21"/>
          <w:highlight w:val="none"/>
        </w:rPr>
        <w:t>其出具质量检测报告。</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4.验收时乙方必须在现场，验收完毕后做出验收结果报告；验收费用由乙方负责。</w:t>
      </w:r>
    </w:p>
    <w:p>
      <w:pPr>
        <w:pStyle w:val="19"/>
        <w:spacing w:after="0" w:line="360" w:lineRule="auto"/>
        <w:ind w:firstLine="446" w:firstLineChars="200"/>
        <w:outlineLvl w:val="1"/>
        <w:rPr>
          <w:rFonts w:ascii="宋体" w:hAnsi="宋体" w:cs="宋体"/>
          <w:color w:val="auto"/>
          <w:szCs w:val="21"/>
          <w:highlight w:val="none"/>
        </w:rPr>
      </w:pPr>
      <w:r>
        <w:rPr>
          <w:rFonts w:hint="eastAsia" w:ascii="宋体" w:hAnsi="宋体" w:cs="宋体"/>
          <w:b/>
          <w:bCs/>
          <w:color w:val="auto"/>
          <w:spacing w:val="6"/>
          <w:szCs w:val="21"/>
          <w:highlight w:val="none"/>
        </w:rPr>
        <w:t>第九条</w:t>
      </w:r>
      <w:r>
        <w:rPr>
          <w:rFonts w:hint="eastAsia" w:ascii="宋体" w:hAnsi="宋体" w:cs="宋体"/>
          <w:color w:val="auto"/>
          <w:spacing w:val="6"/>
          <w:szCs w:val="21"/>
          <w:highlight w:val="none"/>
        </w:rPr>
        <w:t xml:space="preserve">  违约责任</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1.乙方所提供的服务、技术标准、材料等质量不</w:t>
      </w:r>
      <w:r>
        <w:rPr>
          <w:rFonts w:hint="eastAsia" w:ascii="宋体" w:hAnsi="宋体" w:cs="宋体"/>
          <w:color w:val="auto"/>
          <w:spacing w:val="9"/>
          <w:szCs w:val="21"/>
          <w:highlight w:val="none"/>
        </w:rPr>
        <w:t>合格的，应及时更换，更换不及时的按服</w:t>
      </w:r>
      <w:r>
        <w:rPr>
          <w:rFonts w:hint="eastAsia" w:ascii="宋体" w:hAnsi="宋体" w:cs="宋体"/>
          <w:color w:val="auto"/>
          <w:spacing w:val="8"/>
          <w:szCs w:val="21"/>
          <w:highlight w:val="none"/>
        </w:rPr>
        <w:t>务不及时处罚；因质量问题甲方不同意接收的或特殊情况甲方同意接收的，乙方应向甲方支付合同款总额5%违约金并赔偿甲方经济损失。</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2.乙方提供的服务如侵犯了第三方合法权益而引发的任何纠纷或诉讼，</w:t>
      </w:r>
      <w:r>
        <w:rPr>
          <w:rFonts w:hint="eastAsia" w:ascii="宋体" w:hAnsi="宋体" w:cs="宋体"/>
          <w:color w:val="auto"/>
          <w:spacing w:val="9"/>
          <w:szCs w:val="21"/>
          <w:highlight w:val="none"/>
        </w:rPr>
        <w:t>均由乙方负责交涉</w:t>
      </w:r>
      <w:r>
        <w:rPr>
          <w:rFonts w:hint="eastAsia" w:ascii="宋体" w:hAnsi="宋体" w:cs="宋体"/>
          <w:color w:val="auto"/>
          <w:spacing w:val="6"/>
          <w:szCs w:val="21"/>
          <w:highlight w:val="none"/>
        </w:rPr>
        <w:t>并承担全部责任。</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3.因包装、运输引起的相关维保备用品或零件损坏，按</w:t>
      </w:r>
      <w:r>
        <w:rPr>
          <w:rFonts w:hint="eastAsia" w:ascii="宋体" w:hAnsi="宋体" w:cs="宋体"/>
          <w:color w:val="auto"/>
          <w:spacing w:val="8"/>
          <w:szCs w:val="21"/>
          <w:highlight w:val="none"/>
        </w:rPr>
        <w:t>质量不合格处罚。</w:t>
      </w:r>
    </w:p>
    <w:p>
      <w:pPr>
        <w:pStyle w:val="19"/>
        <w:spacing w:after="0" w:line="360" w:lineRule="auto"/>
        <w:ind w:firstLine="464" w:firstLineChars="200"/>
        <w:rPr>
          <w:rFonts w:ascii="宋体" w:hAnsi="宋体" w:cs="宋体"/>
          <w:color w:val="auto"/>
          <w:szCs w:val="21"/>
          <w:highlight w:val="none"/>
        </w:rPr>
      </w:pPr>
      <w:r>
        <w:rPr>
          <w:rFonts w:hint="eastAsia" w:ascii="宋体" w:hAnsi="宋体" w:cs="宋体"/>
          <w:color w:val="auto"/>
          <w:spacing w:val="11"/>
          <w:szCs w:val="21"/>
          <w:highlight w:val="none"/>
        </w:rPr>
        <w:t>4.乙方不及时服务的，每天向甲方偿付当年合同款额</w:t>
      </w:r>
      <w:r>
        <w:rPr>
          <w:rFonts w:hint="eastAsia" w:ascii="宋体" w:hAnsi="宋体" w:cs="宋体"/>
          <w:color w:val="auto"/>
          <w:spacing w:val="10"/>
          <w:szCs w:val="21"/>
          <w:highlight w:val="none"/>
        </w:rPr>
        <w:t>3‰违约金，但违约金累计不得超过</w:t>
      </w:r>
      <w:r>
        <w:rPr>
          <w:rFonts w:hint="eastAsia" w:ascii="宋体" w:hAnsi="宋体" w:cs="宋体"/>
          <w:color w:val="auto"/>
          <w:spacing w:val="8"/>
          <w:szCs w:val="21"/>
          <w:highlight w:val="none"/>
        </w:rPr>
        <w:t>合同款总额5%，超过</w:t>
      </w:r>
      <w:r>
        <w:rPr>
          <w:rFonts w:hint="eastAsia" w:ascii="宋体" w:hAnsi="宋体" w:cs="宋体"/>
          <w:color w:val="auto"/>
          <w:spacing w:val="8"/>
          <w:szCs w:val="21"/>
          <w:highlight w:val="none"/>
          <w:u w:val="single"/>
        </w:rPr>
        <w:t>120</w:t>
      </w:r>
      <w:r>
        <w:rPr>
          <w:rFonts w:hint="eastAsia" w:ascii="宋体" w:hAnsi="宋体" w:cs="宋体"/>
          <w:color w:val="auto"/>
          <w:spacing w:val="8"/>
          <w:szCs w:val="21"/>
          <w:highlight w:val="none"/>
        </w:rPr>
        <w:t>天甲方有权解除合同，乙方承担因此给对方造成经济损失。</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5.乙方未按本合同和报价文件中规定的服务承诺提供售后服务的，乙</w:t>
      </w:r>
      <w:r>
        <w:rPr>
          <w:rFonts w:hint="eastAsia" w:ascii="宋体" w:hAnsi="宋体" w:cs="宋体"/>
          <w:color w:val="auto"/>
          <w:spacing w:val="9"/>
          <w:szCs w:val="21"/>
          <w:highlight w:val="none"/>
        </w:rPr>
        <w:t>方应按本合同合计金</w:t>
      </w:r>
      <w:r>
        <w:rPr>
          <w:rFonts w:hint="eastAsia" w:ascii="宋体" w:hAnsi="宋体" w:cs="宋体"/>
          <w:color w:val="auto"/>
          <w:spacing w:val="7"/>
          <w:szCs w:val="21"/>
          <w:highlight w:val="none"/>
        </w:rPr>
        <w:t>额5%向甲方支付违约金。</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6.乙方提供的相关维保备用品或零件在质量保证期内，因设计、工艺或材</w:t>
      </w:r>
      <w:r>
        <w:rPr>
          <w:rFonts w:hint="eastAsia" w:ascii="宋体" w:hAnsi="宋体" w:cs="宋体"/>
          <w:color w:val="auto"/>
          <w:spacing w:val="9"/>
          <w:szCs w:val="21"/>
          <w:highlight w:val="none"/>
        </w:rPr>
        <w:t>料的缺陷和其他</w:t>
      </w:r>
      <w:r>
        <w:rPr>
          <w:rFonts w:hint="eastAsia" w:ascii="宋体" w:hAnsi="宋体" w:cs="宋体"/>
          <w:color w:val="auto"/>
          <w:spacing w:val="8"/>
          <w:szCs w:val="21"/>
          <w:highlight w:val="none"/>
        </w:rPr>
        <w:t>质量原因造成的问题，由乙方负责。因此而给甲方造成的直接应由乙方承担。</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7.乙方的其他违约行为按合同总款额5%收取违约金并赔偿甲方的经济损失。</w:t>
      </w:r>
    </w:p>
    <w:p>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第十条</w:t>
      </w:r>
      <w:r>
        <w:rPr>
          <w:rFonts w:hint="eastAsia" w:ascii="宋体" w:hAnsi="宋体" w:cs="宋体"/>
          <w:color w:val="auto"/>
          <w:spacing w:val="7"/>
          <w:szCs w:val="21"/>
          <w:highlight w:val="none"/>
        </w:rPr>
        <w:t xml:space="preserve"> 不可抗力事件处理</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1.在合同有效期内，任何一方因不可抗力事件导致不能履行合同，则合同履行</w:t>
      </w:r>
      <w:r>
        <w:rPr>
          <w:rFonts w:hint="eastAsia" w:ascii="宋体" w:hAnsi="宋体" w:cs="宋体"/>
          <w:color w:val="auto"/>
          <w:spacing w:val="8"/>
          <w:szCs w:val="21"/>
          <w:highlight w:val="none"/>
        </w:rPr>
        <w:t>期可延长，其延长期与不可抗力影响期相同。</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2.不可抗力事件发生后，应于知道或应当知道不</w:t>
      </w:r>
      <w:r>
        <w:rPr>
          <w:rFonts w:hint="eastAsia" w:ascii="宋体" w:hAnsi="宋体" w:cs="宋体"/>
          <w:color w:val="auto"/>
          <w:spacing w:val="5"/>
          <w:szCs w:val="21"/>
          <w:highlight w:val="none"/>
        </w:rPr>
        <w:t>可抗力事件之时日内立即书面通知对方，</w:t>
      </w:r>
      <w:r>
        <w:rPr>
          <w:rFonts w:hint="eastAsia" w:ascii="宋体" w:hAnsi="宋体" w:cs="宋体"/>
          <w:color w:val="auto"/>
          <w:spacing w:val="8"/>
          <w:szCs w:val="21"/>
          <w:highlight w:val="none"/>
        </w:rPr>
        <w:t>并寄送有关权威机构出具的证明。</w:t>
      </w:r>
    </w:p>
    <w:p>
      <w:pPr>
        <w:pStyle w:val="19"/>
        <w:spacing w:after="0" w:line="360" w:lineRule="auto"/>
        <w:ind w:firstLine="456" w:firstLineChars="200"/>
        <w:rPr>
          <w:rFonts w:ascii="宋体" w:hAnsi="宋体" w:cs="宋体"/>
          <w:color w:val="auto"/>
          <w:szCs w:val="21"/>
          <w:highlight w:val="none"/>
        </w:rPr>
      </w:pPr>
      <w:r>
        <w:rPr>
          <w:rFonts w:hint="eastAsia" w:ascii="宋体" w:hAnsi="宋体" w:cs="宋体"/>
          <w:color w:val="auto"/>
          <w:spacing w:val="9"/>
          <w:szCs w:val="21"/>
          <w:highlight w:val="none"/>
        </w:rPr>
        <w:t>3.不可抗力事件延续一百二十天以上，双方应通过友好协商，确定是否继续履行合</w:t>
      </w:r>
      <w:r>
        <w:rPr>
          <w:rFonts w:hint="eastAsia" w:ascii="宋体" w:hAnsi="宋体" w:cs="宋体"/>
          <w:color w:val="auto"/>
          <w:spacing w:val="8"/>
          <w:szCs w:val="21"/>
          <w:highlight w:val="none"/>
        </w:rPr>
        <w:t>同。</w:t>
      </w:r>
    </w:p>
    <w:p>
      <w:pPr>
        <w:pStyle w:val="19"/>
        <w:spacing w:after="0" w:line="360" w:lineRule="auto"/>
        <w:ind w:firstLine="450" w:firstLineChars="200"/>
        <w:outlineLvl w:val="1"/>
        <w:rPr>
          <w:rFonts w:ascii="宋体" w:hAnsi="宋体" w:cs="宋体"/>
          <w:color w:val="auto"/>
          <w:szCs w:val="21"/>
          <w:highlight w:val="none"/>
        </w:rPr>
      </w:pPr>
      <w:r>
        <w:rPr>
          <w:rFonts w:hint="eastAsia" w:ascii="宋体" w:hAnsi="宋体" w:cs="宋体"/>
          <w:b/>
          <w:bCs/>
          <w:color w:val="auto"/>
          <w:spacing w:val="7"/>
          <w:szCs w:val="21"/>
          <w:highlight w:val="none"/>
        </w:rPr>
        <w:t>第十一条</w:t>
      </w:r>
      <w:r>
        <w:rPr>
          <w:rFonts w:hint="eastAsia" w:ascii="宋体" w:hAnsi="宋体" w:cs="宋体"/>
          <w:color w:val="auto"/>
          <w:spacing w:val="7"/>
          <w:szCs w:val="21"/>
          <w:highlight w:val="none"/>
        </w:rPr>
        <w:t xml:space="preserve">  合同争议解决</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1、因服务成果质量问题发生争议的，应邀请国家认可的质量检测机构对服务成果质量进行</w:t>
      </w:r>
      <w:r>
        <w:rPr>
          <w:rFonts w:hint="eastAsia" w:ascii="宋体" w:hAnsi="宋体" w:cs="宋体"/>
          <w:color w:val="auto"/>
          <w:spacing w:val="9"/>
          <w:szCs w:val="21"/>
          <w:highlight w:val="none"/>
        </w:rPr>
        <w:t>鉴定。服务成果符合标准的，鉴定费由甲方承担；服务成果不符合标准的，鉴定费由</w:t>
      </w:r>
      <w:r>
        <w:rPr>
          <w:rFonts w:hint="eastAsia" w:ascii="宋体" w:hAnsi="宋体" w:cs="宋体"/>
          <w:color w:val="auto"/>
          <w:spacing w:val="8"/>
          <w:szCs w:val="21"/>
          <w:highlight w:val="none"/>
        </w:rPr>
        <w:t>乙方承担。</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2、因履行本合同引起的或与本合同有关的争议，甲乙</w:t>
      </w:r>
      <w:r>
        <w:rPr>
          <w:rFonts w:hint="eastAsia" w:ascii="宋体" w:hAnsi="宋体" w:cs="宋体"/>
          <w:color w:val="auto"/>
          <w:spacing w:val="9"/>
          <w:szCs w:val="21"/>
          <w:highlight w:val="none"/>
        </w:rPr>
        <w:t>双方应首先通过友好协商解决，如果协商不能解决，向甲方所在地有管辖权的人民法院提起诉讼。</w:t>
      </w:r>
    </w:p>
    <w:p>
      <w:pPr>
        <w:pStyle w:val="19"/>
        <w:spacing w:after="0" w:line="360" w:lineRule="auto"/>
        <w:ind w:firstLine="452" w:firstLineChars="200"/>
        <w:outlineLvl w:val="2"/>
        <w:rPr>
          <w:rFonts w:ascii="宋体" w:hAnsi="宋体" w:cs="宋体"/>
          <w:color w:val="auto"/>
          <w:szCs w:val="21"/>
          <w:highlight w:val="none"/>
        </w:rPr>
      </w:pPr>
      <w:r>
        <w:rPr>
          <w:rFonts w:hint="eastAsia" w:ascii="宋体" w:hAnsi="宋体" w:cs="宋体"/>
          <w:color w:val="auto"/>
          <w:spacing w:val="8"/>
          <w:szCs w:val="21"/>
          <w:highlight w:val="none"/>
        </w:rPr>
        <w:t>3、诉讼期间，本合同无争议部分继续履行。</w:t>
      </w:r>
    </w:p>
    <w:p>
      <w:pPr>
        <w:pStyle w:val="19"/>
        <w:spacing w:after="0" w:line="360" w:lineRule="auto"/>
        <w:ind w:firstLine="446" w:firstLineChars="200"/>
        <w:outlineLvl w:val="1"/>
        <w:rPr>
          <w:rFonts w:ascii="宋体" w:hAnsi="宋体" w:cs="宋体"/>
          <w:b/>
          <w:bCs/>
          <w:color w:val="auto"/>
          <w:szCs w:val="21"/>
          <w:highlight w:val="none"/>
        </w:rPr>
      </w:pPr>
      <w:r>
        <w:rPr>
          <w:rFonts w:hint="eastAsia" w:ascii="宋体" w:hAnsi="宋体" w:cs="宋体"/>
          <w:b/>
          <w:bCs/>
          <w:color w:val="auto"/>
          <w:spacing w:val="6"/>
          <w:szCs w:val="21"/>
          <w:highlight w:val="none"/>
        </w:rPr>
        <w:t>第十二条 诉讼</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双方在执行合同中所发生的一切争议，应通过协商解决。如果协商不能解决，可向甲方所在地有管辖权的人民法院提起诉讼。</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第十三条 </w:t>
      </w:r>
      <w:r>
        <w:rPr>
          <w:rFonts w:hint="eastAsia" w:ascii="宋体" w:hAnsi="宋体" w:cs="宋体"/>
          <w:color w:val="auto"/>
          <w:spacing w:val="7"/>
          <w:szCs w:val="21"/>
          <w:highlight w:val="none"/>
        </w:rPr>
        <w:t>合同生效及其他</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1．合同经双方法定代表人（负责人）或授权代表签字并加盖单位公章后生效。</w:t>
      </w:r>
    </w:p>
    <w:p>
      <w:pPr>
        <w:pStyle w:val="19"/>
        <w:spacing w:after="0" w:line="360" w:lineRule="auto"/>
        <w:ind w:firstLine="460" w:firstLineChars="200"/>
        <w:rPr>
          <w:rFonts w:ascii="宋体" w:hAnsi="宋体" w:cs="宋体"/>
          <w:color w:val="auto"/>
          <w:spacing w:val="7"/>
          <w:szCs w:val="21"/>
          <w:highlight w:val="none"/>
        </w:rPr>
      </w:pPr>
      <w:r>
        <w:rPr>
          <w:rFonts w:hint="eastAsia" w:ascii="宋体" w:hAnsi="宋体" w:cs="宋体"/>
          <w:color w:val="auto"/>
          <w:spacing w:val="10"/>
          <w:szCs w:val="21"/>
          <w:highlight w:val="none"/>
        </w:rPr>
        <w:t>2．合同执行中涉及采购资金和采购内容修改或补充的，须经财政部门审批，并签订</w:t>
      </w:r>
      <w:r>
        <w:rPr>
          <w:rFonts w:hint="eastAsia" w:ascii="宋体" w:hAnsi="宋体" w:cs="宋体"/>
          <w:color w:val="auto"/>
          <w:spacing w:val="8"/>
          <w:szCs w:val="21"/>
          <w:highlight w:val="none"/>
        </w:rPr>
        <w:t>书面补充协议报财政部门备案，方可作为主合同不可分割的</w:t>
      </w:r>
      <w:r>
        <w:rPr>
          <w:rFonts w:hint="eastAsia" w:ascii="宋体" w:hAnsi="宋体" w:cs="宋体"/>
          <w:color w:val="auto"/>
          <w:spacing w:val="7"/>
          <w:szCs w:val="21"/>
          <w:highlight w:val="none"/>
        </w:rPr>
        <w:t>一部分。</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3．本合同未尽事宜，遵照《中华人民共和国民法典</w:t>
      </w:r>
      <w:r>
        <w:rPr>
          <w:rFonts w:hint="eastAsia" w:ascii="宋体" w:hAnsi="宋体" w:cs="宋体"/>
          <w:color w:val="auto"/>
          <w:spacing w:val="6"/>
          <w:szCs w:val="21"/>
          <w:highlight w:val="none"/>
        </w:rPr>
        <w:t>》等有关法律法规有关条文执行。</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第十四条 </w:t>
      </w:r>
      <w:r>
        <w:rPr>
          <w:rFonts w:hint="eastAsia" w:ascii="宋体" w:hAnsi="宋体" w:cs="宋体"/>
          <w:color w:val="auto"/>
          <w:spacing w:val="7"/>
          <w:szCs w:val="21"/>
          <w:highlight w:val="none"/>
        </w:rPr>
        <w:t>合同的变更、终止与转让</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1、本合同一经签订，甲乙双方不得擅自变更、中止或终止。</w:t>
      </w:r>
    </w:p>
    <w:p>
      <w:pPr>
        <w:pStyle w:val="19"/>
        <w:spacing w:after="0" w:line="360" w:lineRule="auto"/>
        <w:ind w:firstLine="452" w:firstLineChars="200"/>
        <w:rPr>
          <w:rFonts w:ascii="宋体" w:hAnsi="宋体" w:cs="宋体"/>
          <w:color w:val="auto"/>
          <w:szCs w:val="21"/>
          <w:highlight w:val="none"/>
        </w:rPr>
      </w:pPr>
      <w:r>
        <w:rPr>
          <w:rFonts w:hint="eastAsia" w:ascii="宋体" w:hAnsi="宋体" w:cs="宋体"/>
          <w:color w:val="auto"/>
          <w:spacing w:val="8"/>
          <w:szCs w:val="21"/>
          <w:highlight w:val="none"/>
        </w:rPr>
        <w:t>2、乙方不得擅自转让其应履行的合同义务。</w:t>
      </w:r>
    </w:p>
    <w:p>
      <w:pPr>
        <w:pStyle w:val="19"/>
        <w:spacing w:after="0" w:line="360" w:lineRule="auto"/>
        <w:ind w:firstLine="450" w:firstLineChars="200"/>
        <w:outlineLvl w:val="1"/>
        <w:rPr>
          <w:rFonts w:ascii="宋体" w:hAnsi="宋体" w:cs="宋体"/>
          <w:b/>
          <w:bCs/>
          <w:color w:val="auto"/>
          <w:szCs w:val="21"/>
          <w:highlight w:val="none"/>
        </w:rPr>
      </w:pPr>
      <w:r>
        <w:rPr>
          <w:rFonts w:hint="eastAsia" w:ascii="宋体" w:hAnsi="宋体" w:cs="宋体"/>
          <w:b/>
          <w:bCs/>
          <w:color w:val="auto"/>
          <w:spacing w:val="7"/>
          <w:szCs w:val="21"/>
          <w:highlight w:val="none"/>
        </w:rPr>
        <w:t xml:space="preserve">第十五条 </w:t>
      </w:r>
      <w:r>
        <w:rPr>
          <w:rFonts w:hint="eastAsia" w:ascii="宋体" w:hAnsi="宋体" w:cs="宋体"/>
          <w:color w:val="auto"/>
          <w:spacing w:val="7"/>
          <w:szCs w:val="21"/>
          <w:highlight w:val="none"/>
        </w:rPr>
        <w:t>签订本合同依据</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（1）采购项目需求表</w:t>
      </w:r>
    </w:p>
    <w:p>
      <w:pPr>
        <w:pStyle w:val="19"/>
        <w:spacing w:after="0" w:line="360" w:lineRule="auto"/>
        <w:ind w:firstLine="440" w:firstLineChars="200"/>
        <w:rPr>
          <w:rFonts w:ascii="宋体" w:hAnsi="宋体" w:cs="宋体"/>
          <w:color w:val="auto"/>
          <w:szCs w:val="21"/>
          <w:highlight w:val="none"/>
        </w:rPr>
      </w:pPr>
      <w:r>
        <w:rPr>
          <w:rFonts w:hint="eastAsia" w:ascii="宋体" w:hAnsi="宋体" w:cs="宋体"/>
          <w:color w:val="auto"/>
          <w:spacing w:val="5"/>
          <w:szCs w:val="21"/>
          <w:highlight w:val="none"/>
        </w:rPr>
        <w:t>（2）响应函</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（3）二次竞标报价表</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（4）技术要求偏离表</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（5）商务条款偏离表</w:t>
      </w:r>
    </w:p>
    <w:p>
      <w:pPr>
        <w:pStyle w:val="19"/>
        <w:spacing w:after="0" w:line="360" w:lineRule="auto"/>
        <w:ind w:firstLine="448" w:firstLineChars="200"/>
        <w:rPr>
          <w:rFonts w:ascii="宋体" w:hAnsi="宋体" w:cs="宋体"/>
          <w:color w:val="auto"/>
          <w:szCs w:val="21"/>
          <w:highlight w:val="none"/>
        </w:rPr>
      </w:pPr>
      <w:r>
        <w:rPr>
          <w:rFonts w:hint="eastAsia" w:ascii="宋体" w:hAnsi="宋体" w:cs="宋体"/>
          <w:color w:val="auto"/>
          <w:spacing w:val="7"/>
          <w:szCs w:val="21"/>
          <w:highlight w:val="none"/>
        </w:rPr>
        <w:t>（6）售后服务承诺书</w:t>
      </w:r>
    </w:p>
    <w:p>
      <w:pPr>
        <w:pStyle w:val="19"/>
        <w:spacing w:after="0" w:line="360" w:lineRule="auto"/>
        <w:ind w:firstLine="444" w:firstLineChars="200"/>
        <w:rPr>
          <w:rFonts w:ascii="宋体" w:hAnsi="宋体" w:cs="宋体"/>
          <w:color w:val="auto"/>
          <w:szCs w:val="21"/>
          <w:highlight w:val="none"/>
        </w:rPr>
      </w:pPr>
      <w:r>
        <w:rPr>
          <w:rFonts w:hint="eastAsia" w:ascii="宋体" w:hAnsi="宋体" w:cs="宋体"/>
          <w:color w:val="auto"/>
          <w:spacing w:val="6"/>
          <w:szCs w:val="21"/>
          <w:highlight w:val="none"/>
        </w:rPr>
        <w:t>（7）成交通知书</w:t>
      </w:r>
    </w:p>
    <w:p>
      <w:pPr>
        <w:pStyle w:val="19"/>
        <w:spacing w:after="0" w:line="360" w:lineRule="auto"/>
        <w:ind w:firstLine="460" w:firstLineChars="200"/>
        <w:rPr>
          <w:rFonts w:ascii="宋体" w:hAnsi="宋体" w:cs="宋体"/>
          <w:color w:val="auto"/>
          <w:szCs w:val="21"/>
          <w:highlight w:val="none"/>
        </w:rPr>
      </w:pPr>
      <w:r>
        <w:rPr>
          <w:rFonts w:hint="eastAsia" w:ascii="宋体" w:hAnsi="宋体" w:cs="宋体"/>
          <w:color w:val="auto"/>
          <w:spacing w:val="10"/>
          <w:szCs w:val="21"/>
          <w:highlight w:val="none"/>
        </w:rPr>
        <w:t>6、上述合同文件互相补充和解释。如果合同文件之间存在矛盾</w:t>
      </w:r>
      <w:r>
        <w:rPr>
          <w:rFonts w:hint="eastAsia" w:ascii="宋体" w:hAnsi="宋体" w:cs="宋体"/>
          <w:color w:val="auto"/>
          <w:spacing w:val="9"/>
          <w:szCs w:val="21"/>
          <w:highlight w:val="none"/>
        </w:rPr>
        <w:t>或者不一致之处，以上述文</w:t>
      </w:r>
      <w:r>
        <w:rPr>
          <w:rFonts w:hint="eastAsia" w:ascii="宋体" w:hAnsi="宋体" w:cs="宋体"/>
          <w:color w:val="auto"/>
          <w:spacing w:val="8"/>
          <w:szCs w:val="21"/>
          <w:highlight w:val="none"/>
        </w:rPr>
        <w:t>件的排列顺序在先者为准。</w:t>
      </w:r>
    </w:p>
    <w:p>
      <w:pPr>
        <w:pStyle w:val="19"/>
        <w:spacing w:after="0" w:line="360" w:lineRule="auto"/>
        <w:ind w:firstLine="454" w:firstLineChars="200"/>
        <w:rPr>
          <w:rFonts w:ascii="宋体" w:hAnsi="宋体" w:cs="宋体"/>
          <w:color w:val="auto"/>
          <w:szCs w:val="21"/>
          <w:highlight w:val="none"/>
        </w:rPr>
      </w:pPr>
      <w:r>
        <w:rPr>
          <w:rFonts w:hint="eastAsia" w:ascii="宋体" w:hAnsi="宋体" w:cs="宋体"/>
          <w:b/>
          <w:bCs/>
          <w:color w:val="auto"/>
          <w:spacing w:val="8"/>
          <w:szCs w:val="21"/>
          <w:highlight w:val="none"/>
        </w:rPr>
        <w:t>第十六条</w:t>
      </w:r>
      <w:r>
        <w:rPr>
          <w:rFonts w:hint="eastAsia" w:ascii="宋体" w:hAnsi="宋体" w:cs="宋体"/>
          <w:color w:val="auto"/>
          <w:spacing w:val="8"/>
          <w:szCs w:val="21"/>
          <w:highlight w:val="none"/>
        </w:rPr>
        <w:t xml:space="preserve">  本合同一式陆份，具有同等法律效力，</w:t>
      </w:r>
      <w:r>
        <w:rPr>
          <w:rFonts w:hint="eastAsia" w:ascii="宋体" w:hAnsi="宋体" w:cs="宋体"/>
          <w:color w:val="auto"/>
          <w:spacing w:val="-56"/>
          <w:szCs w:val="21"/>
          <w:highlight w:val="none"/>
        </w:rPr>
        <w:t xml:space="preserve"> </w:t>
      </w:r>
      <w:r>
        <w:rPr>
          <w:rFonts w:hint="eastAsia" w:ascii="宋体" w:hAnsi="宋体" w:cs="宋体"/>
          <w:color w:val="auto"/>
          <w:spacing w:val="8"/>
          <w:szCs w:val="21"/>
          <w:highlight w:val="none"/>
        </w:rPr>
        <w:t>甲方叁份，乙方贰份，代理机构壹份。</w:t>
      </w:r>
    </w:p>
    <w:p>
      <w:pPr>
        <w:spacing w:before="105"/>
        <w:rPr>
          <w:rFonts w:ascii="宋体" w:hAnsi="宋体" w:cs="宋体"/>
          <w:color w:val="auto"/>
          <w:szCs w:val="21"/>
          <w:highlight w:val="none"/>
        </w:rPr>
      </w:pPr>
    </w:p>
    <w:tbl>
      <w:tblPr>
        <w:tblStyle w:val="216"/>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4"/>
        <w:gridCol w:w="45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 w:hRule="atLeast"/>
        </w:trPr>
        <w:tc>
          <w:tcPr>
            <w:tcW w:w="4584" w:type="dxa"/>
          </w:tcPr>
          <w:p>
            <w:pPr>
              <w:pStyle w:val="215"/>
              <w:spacing w:line="360" w:lineRule="auto"/>
              <w:rPr>
                <w:color w:val="auto"/>
                <w:sz w:val="21"/>
                <w:szCs w:val="21"/>
                <w:highlight w:val="none"/>
              </w:rPr>
            </w:pPr>
            <w:r>
              <w:rPr>
                <w:rFonts w:hint="eastAsia"/>
                <w:color w:val="auto"/>
                <w:spacing w:val="6"/>
                <w:sz w:val="21"/>
                <w:szCs w:val="21"/>
                <w:highlight w:val="none"/>
              </w:rPr>
              <w:t>甲方</w:t>
            </w:r>
            <w:r>
              <w:rPr>
                <w:rFonts w:hint="eastAsia"/>
                <w:color w:val="auto"/>
                <w:spacing w:val="-6"/>
                <w:sz w:val="21"/>
                <w:szCs w:val="21"/>
                <w:highlight w:val="none"/>
              </w:rPr>
              <w:t>：（</w:t>
            </w:r>
            <w:r>
              <w:rPr>
                <w:rFonts w:hint="eastAsia"/>
                <w:color w:val="auto"/>
                <w:spacing w:val="6"/>
                <w:sz w:val="21"/>
                <w:szCs w:val="21"/>
                <w:highlight w:val="none"/>
              </w:rPr>
              <w:t>章）</w:t>
            </w: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20"/>
                <w:sz w:val="21"/>
                <w:szCs w:val="21"/>
                <w:highlight w:val="none"/>
              </w:rPr>
              <w:t xml:space="preserve">   </w:t>
            </w:r>
            <w:r>
              <w:rPr>
                <w:rFonts w:hint="eastAsia"/>
                <w:color w:val="auto"/>
                <w:spacing w:val="-2"/>
                <w:sz w:val="21"/>
                <w:szCs w:val="21"/>
                <w:highlight w:val="none"/>
              </w:rPr>
              <w:t>日</w:t>
            </w:r>
          </w:p>
        </w:tc>
        <w:tc>
          <w:tcPr>
            <w:tcW w:w="4585" w:type="dxa"/>
          </w:tcPr>
          <w:p>
            <w:pPr>
              <w:pStyle w:val="215"/>
              <w:spacing w:line="360" w:lineRule="auto"/>
              <w:rPr>
                <w:color w:val="auto"/>
                <w:sz w:val="21"/>
                <w:szCs w:val="21"/>
                <w:highlight w:val="none"/>
              </w:rPr>
            </w:pPr>
            <w:r>
              <w:rPr>
                <w:rFonts w:hint="eastAsia"/>
                <w:color w:val="auto"/>
                <w:spacing w:val="7"/>
                <w:sz w:val="21"/>
                <w:szCs w:val="21"/>
                <w:highlight w:val="none"/>
              </w:rPr>
              <w:t>乙方</w:t>
            </w:r>
            <w:r>
              <w:rPr>
                <w:rFonts w:hint="eastAsia"/>
                <w:color w:val="auto"/>
                <w:spacing w:val="-5"/>
                <w:sz w:val="21"/>
                <w:szCs w:val="21"/>
                <w:highlight w:val="none"/>
              </w:rPr>
              <w:t>：（</w:t>
            </w:r>
            <w:r>
              <w:rPr>
                <w:rFonts w:hint="eastAsia"/>
                <w:color w:val="auto"/>
                <w:spacing w:val="7"/>
                <w:sz w:val="21"/>
                <w:szCs w:val="21"/>
                <w:highlight w:val="none"/>
              </w:rPr>
              <w:t>章）</w:t>
            </w: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p>
            <w:pPr>
              <w:pStyle w:val="215"/>
              <w:spacing w:line="360" w:lineRule="auto"/>
              <w:rPr>
                <w:color w:val="auto"/>
                <w:sz w:val="21"/>
                <w:szCs w:val="21"/>
                <w:highlight w:val="none"/>
              </w:rPr>
            </w:pPr>
            <w:r>
              <w:rPr>
                <w:rFonts w:hint="eastAsia"/>
                <w:color w:val="auto"/>
                <w:spacing w:val="-2"/>
                <w:sz w:val="21"/>
                <w:szCs w:val="21"/>
                <w:highlight w:val="none"/>
              </w:rPr>
              <w:t>年</w:t>
            </w:r>
            <w:r>
              <w:rPr>
                <w:rFonts w:hint="eastAsia"/>
                <w:color w:val="auto"/>
                <w:spacing w:val="10"/>
                <w:sz w:val="21"/>
                <w:szCs w:val="21"/>
                <w:highlight w:val="none"/>
              </w:rPr>
              <w:t xml:space="preserve">   </w:t>
            </w:r>
            <w:r>
              <w:rPr>
                <w:rFonts w:hint="eastAsia"/>
                <w:color w:val="auto"/>
                <w:spacing w:val="-2"/>
                <w:sz w:val="21"/>
                <w:szCs w:val="21"/>
                <w:highlight w:val="none"/>
              </w:rPr>
              <w:t>月</w:t>
            </w:r>
            <w:r>
              <w:rPr>
                <w:rFonts w:hint="eastAsia"/>
                <w:color w:val="auto"/>
                <w:spacing w:val="19"/>
                <w:sz w:val="21"/>
                <w:szCs w:val="21"/>
                <w:highlight w:val="none"/>
              </w:rPr>
              <w:t xml:space="preserve">   </w:t>
            </w:r>
            <w:r>
              <w:rPr>
                <w:rFonts w:hint="eastAsia"/>
                <w:color w:val="auto"/>
                <w:spacing w:val="-2"/>
                <w:sz w:val="21"/>
                <w:szCs w:val="21"/>
                <w:highlight w:val="none"/>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pPr>
              <w:pStyle w:val="215"/>
              <w:spacing w:line="360" w:lineRule="auto"/>
              <w:rPr>
                <w:color w:val="auto"/>
                <w:sz w:val="21"/>
                <w:szCs w:val="21"/>
                <w:highlight w:val="none"/>
              </w:rPr>
            </w:pPr>
            <w:r>
              <w:rPr>
                <w:rFonts w:hint="eastAsia"/>
                <w:color w:val="auto"/>
                <w:spacing w:val="5"/>
                <w:sz w:val="21"/>
                <w:szCs w:val="21"/>
                <w:highlight w:val="none"/>
              </w:rPr>
              <w:t>单位地址：</w:t>
            </w:r>
          </w:p>
        </w:tc>
        <w:tc>
          <w:tcPr>
            <w:tcW w:w="4585" w:type="dxa"/>
          </w:tcPr>
          <w:p>
            <w:pPr>
              <w:pStyle w:val="215"/>
              <w:spacing w:line="360" w:lineRule="auto"/>
              <w:rPr>
                <w:color w:val="auto"/>
                <w:sz w:val="21"/>
                <w:szCs w:val="21"/>
                <w:highlight w:val="none"/>
              </w:rPr>
            </w:pPr>
            <w:r>
              <w:rPr>
                <w:rFonts w:hint="eastAsia"/>
                <w:color w:val="auto"/>
                <w:spacing w:val="5"/>
                <w:sz w:val="21"/>
                <w:szCs w:val="21"/>
                <w:highlight w:val="none"/>
              </w:rPr>
              <w:t>单位地址：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pPr>
              <w:pStyle w:val="215"/>
              <w:spacing w:line="360" w:lineRule="auto"/>
              <w:rPr>
                <w:color w:val="auto"/>
                <w:sz w:val="21"/>
                <w:szCs w:val="21"/>
                <w:highlight w:val="none"/>
              </w:rPr>
            </w:pPr>
            <w:r>
              <w:rPr>
                <w:rFonts w:hint="eastAsia"/>
                <w:color w:val="auto"/>
                <w:spacing w:val="6"/>
                <w:sz w:val="21"/>
                <w:szCs w:val="21"/>
                <w:highlight w:val="none"/>
              </w:rPr>
              <w:t>法定代表人：</w:t>
            </w:r>
          </w:p>
        </w:tc>
        <w:tc>
          <w:tcPr>
            <w:tcW w:w="4585" w:type="dxa"/>
          </w:tcPr>
          <w:p>
            <w:pPr>
              <w:pStyle w:val="215"/>
              <w:spacing w:line="360" w:lineRule="auto"/>
              <w:rPr>
                <w:color w:val="auto"/>
                <w:sz w:val="21"/>
                <w:szCs w:val="21"/>
                <w:highlight w:val="none"/>
              </w:rPr>
            </w:pPr>
            <w:r>
              <w:rPr>
                <w:rFonts w:hint="eastAsia"/>
                <w:color w:val="auto"/>
                <w:spacing w:val="6"/>
                <w:sz w:val="21"/>
                <w:szCs w:val="21"/>
                <w:highlight w:val="none"/>
              </w:rPr>
              <w:t>法定代表人：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tcPr>
          <w:p>
            <w:pPr>
              <w:pStyle w:val="215"/>
              <w:spacing w:line="360" w:lineRule="auto"/>
              <w:rPr>
                <w:color w:val="auto"/>
                <w:sz w:val="21"/>
                <w:szCs w:val="21"/>
                <w:highlight w:val="none"/>
              </w:rPr>
            </w:pPr>
            <w:r>
              <w:rPr>
                <w:rFonts w:hint="eastAsia"/>
                <w:color w:val="auto"/>
                <w:spacing w:val="6"/>
                <w:sz w:val="21"/>
                <w:szCs w:val="21"/>
                <w:highlight w:val="none"/>
              </w:rPr>
              <w:t>委托代理人：</w:t>
            </w:r>
          </w:p>
        </w:tc>
        <w:tc>
          <w:tcPr>
            <w:tcW w:w="4585" w:type="dxa"/>
          </w:tcPr>
          <w:p>
            <w:pPr>
              <w:pStyle w:val="215"/>
              <w:spacing w:line="360" w:lineRule="auto"/>
              <w:rPr>
                <w:color w:val="auto"/>
                <w:sz w:val="21"/>
                <w:szCs w:val="21"/>
                <w:highlight w:val="none"/>
              </w:rPr>
            </w:pPr>
            <w:r>
              <w:rPr>
                <w:rFonts w:hint="eastAsia"/>
                <w:color w:val="auto"/>
                <w:spacing w:val="6"/>
                <w:sz w:val="21"/>
                <w:szCs w:val="21"/>
                <w:highlight w:val="none"/>
              </w:rPr>
              <w:t>委托代理人：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tcPr>
          <w:p>
            <w:pPr>
              <w:pStyle w:val="215"/>
              <w:spacing w:line="360" w:lineRule="auto"/>
              <w:rPr>
                <w:color w:val="auto"/>
                <w:sz w:val="21"/>
                <w:szCs w:val="21"/>
                <w:highlight w:val="none"/>
              </w:rPr>
            </w:pPr>
            <w:r>
              <w:rPr>
                <w:rFonts w:hint="eastAsia"/>
                <w:color w:val="auto"/>
                <w:spacing w:val="-5"/>
                <w:sz w:val="21"/>
                <w:szCs w:val="21"/>
                <w:highlight w:val="none"/>
              </w:rPr>
              <w:t>电话：</w:t>
            </w:r>
          </w:p>
        </w:tc>
        <w:tc>
          <w:tcPr>
            <w:tcW w:w="4585" w:type="dxa"/>
          </w:tcPr>
          <w:p>
            <w:pPr>
              <w:pStyle w:val="215"/>
              <w:spacing w:line="360" w:lineRule="auto"/>
              <w:rPr>
                <w:color w:val="auto"/>
                <w:sz w:val="21"/>
                <w:szCs w:val="21"/>
                <w:highlight w:val="none"/>
              </w:rPr>
            </w:pPr>
            <w:r>
              <w:rPr>
                <w:rFonts w:hint="eastAsia"/>
                <w:color w:val="auto"/>
                <w:spacing w:val="-5"/>
                <w:sz w:val="21"/>
                <w:szCs w:val="21"/>
                <w:highlight w:val="none"/>
              </w:rPr>
              <w:t>电话：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pPr>
              <w:pStyle w:val="215"/>
              <w:spacing w:line="360" w:lineRule="auto"/>
              <w:rPr>
                <w:color w:val="auto"/>
                <w:sz w:val="21"/>
                <w:szCs w:val="21"/>
                <w:highlight w:val="none"/>
              </w:rPr>
            </w:pPr>
            <w:r>
              <w:rPr>
                <w:rFonts w:hint="eastAsia"/>
                <w:color w:val="auto"/>
                <w:spacing w:val="5"/>
                <w:sz w:val="21"/>
                <w:szCs w:val="21"/>
                <w:highlight w:val="none"/>
              </w:rPr>
              <w:t>开户银行：</w:t>
            </w:r>
          </w:p>
        </w:tc>
        <w:tc>
          <w:tcPr>
            <w:tcW w:w="4585" w:type="dxa"/>
          </w:tcPr>
          <w:p>
            <w:pPr>
              <w:pStyle w:val="215"/>
              <w:spacing w:line="360" w:lineRule="auto"/>
              <w:rPr>
                <w:color w:val="auto"/>
                <w:sz w:val="21"/>
                <w:szCs w:val="21"/>
                <w:highlight w:val="none"/>
              </w:rPr>
            </w:pPr>
            <w:r>
              <w:rPr>
                <w:rFonts w:hint="eastAsia"/>
                <w:color w:val="auto"/>
                <w:spacing w:val="5"/>
                <w:sz w:val="21"/>
                <w:szCs w:val="21"/>
                <w:highlight w:val="none"/>
              </w:rPr>
              <w:t>开户银行：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tcPr>
          <w:p>
            <w:pPr>
              <w:pStyle w:val="215"/>
              <w:spacing w:line="360" w:lineRule="auto"/>
              <w:rPr>
                <w:color w:val="auto"/>
                <w:sz w:val="21"/>
                <w:szCs w:val="21"/>
                <w:highlight w:val="none"/>
              </w:rPr>
            </w:pPr>
            <w:r>
              <w:rPr>
                <w:rFonts w:hint="eastAsia"/>
                <w:color w:val="auto"/>
                <w:spacing w:val="2"/>
                <w:sz w:val="21"/>
                <w:szCs w:val="21"/>
                <w:highlight w:val="none"/>
              </w:rPr>
              <w:t>账号：</w:t>
            </w:r>
          </w:p>
        </w:tc>
        <w:tc>
          <w:tcPr>
            <w:tcW w:w="4585" w:type="dxa"/>
          </w:tcPr>
          <w:p>
            <w:pPr>
              <w:pStyle w:val="215"/>
              <w:spacing w:line="360" w:lineRule="auto"/>
              <w:rPr>
                <w:color w:val="auto"/>
                <w:sz w:val="21"/>
                <w:szCs w:val="21"/>
                <w:highlight w:val="none"/>
              </w:rPr>
            </w:pPr>
            <w:r>
              <w:rPr>
                <w:rFonts w:hint="eastAsia"/>
                <w:color w:val="auto"/>
                <w:spacing w:val="2"/>
                <w:sz w:val="21"/>
                <w:szCs w:val="21"/>
                <w:highlight w:val="none"/>
              </w:rPr>
              <w:t>账号：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4584" w:type="dxa"/>
          </w:tcPr>
          <w:p>
            <w:pPr>
              <w:pStyle w:val="215"/>
              <w:spacing w:line="360" w:lineRule="auto"/>
              <w:rPr>
                <w:color w:val="auto"/>
                <w:sz w:val="21"/>
                <w:szCs w:val="21"/>
                <w:highlight w:val="none"/>
              </w:rPr>
            </w:pPr>
            <w:r>
              <w:rPr>
                <w:rFonts w:hint="eastAsia"/>
                <w:color w:val="auto"/>
                <w:spacing w:val="2"/>
                <w:sz w:val="21"/>
                <w:szCs w:val="21"/>
                <w:highlight w:val="none"/>
              </w:rPr>
              <w:t>邮政编码：</w:t>
            </w:r>
          </w:p>
        </w:tc>
        <w:tc>
          <w:tcPr>
            <w:tcW w:w="4585" w:type="dxa"/>
          </w:tcPr>
          <w:p>
            <w:pPr>
              <w:pStyle w:val="215"/>
              <w:spacing w:line="360" w:lineRule="auto"/>
              <w:rPr>
                <w:color w:val="auto"/>
                <w:sz w:val="21"/>
                <w:szCs w:val="21"/>
                <w:highlight w:val="none"/>
              </w:rPr>
            </w:pPr>
            <w:r>
              <w:rPr>
                <w:rFonts w:hint="eastAsia"/>
                <w:color w:val="auto"/>
                <w:spacing w:val="2"/>
                <w:sz w:val="21"/>
                <w:szCs w:val="21"/>
                <w:highlight w:val="none"/>
              </w:rPr>
              <w:t>邮政编码：</w:t>
            </w:r>
          </w:p>
        </w:tc>
      </w:tr>
    </w:tbl>
    <w:p>
      <w:pPr>
        <w:rPr>
          <w:rFonts w:ascii="宋体" w:hAnsi="宋体" w:cs="宋体"/>
          <w:color w:val="auto"/>
          <w:szCs w:val="21"/>
          <w:highlight w:val="none"/>
        </w:rPr>
      </w:pPr>
    </w:p>
    <w:p>
      <w:pPr>
        <w:rPr>
          <w:rFonts w:ascii="宋体" w:hAnsi="宋体" w:cs="宋体"/>
          <w:color w:val="auto"/>
          <w:szCs w:val="21"/>
          <w:highlight w:val="none"/>
        </w:rPr>
      </w:pPr>
    </w:p>
    <w:p>
      <w:pPr>
        <w:spacing w:line="440" w:lineRule="exact"/>
        <w:rPr>
          <w:rFonts w:ascii="宋体" w:hAnsi="宋体" w:cs="宋体"/>
          <w:color w:val="auto"/>
          <w:szCs w:val="21"/>
          <w:highlight w:val="none"/>
        </w:rPr>
      </w:pPr>
    </w:p>
    <w:p>
      <w:pPr>
        <w:pStyle w:val="4"/>
        <w:spacing w:line="440" w:lineRule="exact"/>
        <w:jc w:val="center"/>
        <w:rPr>
          <w:rFonts w:ascii="宋体" w:hAnsi="宋体" w:cs="宋体"/>
          <w:color w:val="auto"/>
          <w:sz w:val="32"/>
          <w:szCs w:val="32"/>
          <w:highlight w:val="none"/>
        </w:rPr>
      </w:pPr>
      <w:r>
        <w:rPr>
          <w:rFonts w:hint="eastAsia" w:ascii="宋体" w:hAnsi="宋体" w:cs="宋体"/>
          <w:color w:val="auto"/>
          <w:sz w:val="24"/>
          <w:highlight w:val="none"/>
        </w:rPr>
        <w:br w:type="page"/>
      </w:r>
      <w:bookmarkStart w:id="58" w:name="_Toc88747296"/>
      <w:r>
        <w:rPr>
          <w:rFonts w:hint="eastAsia" w:ascii="宋体" w:hAnsi="宋体" w:cs="宋体"/>
          <w:color w:val="auto"/>
          <w:sz w:val="32"/>
          <w:szCs w:val="32"/>
          <w:highlight w:val="none"/>
        </w:rPr>
        <w:t>第六章 评审方法和评审标准</w:t>
      </w:r>
      <w:bookmarkEnd w:id="58"/>
    </w:p>
    <w:p>
      <w:pPr>
        <w:pStyle w:val="5"/>
        <w:spacing w:before="0" w:after="0" w:line="440" w:lineRule="exact"/>
        <w:jc w:val="center"/>
        <w:rPr>
          <w:rFonts w:ascii="宋体" w:hAnsi="宋体" w:eastAsia="宋体" w:cs="宋体"/>
          <w:color w:val="auto"/>
          <w:kern w:val="0"/>
          <w:sz w:val="28"/>
          <w:szCs w:val="28"/>
          <w:highlight w:val="none"/>
        </w:rPr>
      </w:pPr>
      <w:bookmarkStart w:id="59" w:name="OLE_LINK75"/>
      <w:r>
        <w:rPr>
          <w:rFonts w:hint="eastAsia" w:ascii="宋体" w:hAnsi="宋体" w:eastAsia="宋体" w:cs="宋体"/>
          <w:color w:val="auto"/>
          <w:kern w:val="0"/>
          <w:sz w:val="28"/>
          <w:szCs w:val="28"/>
          <w:highlight w:val="none"/>
          <w:lang w:eastAsia="zh-CN"/>
        </w:rPr>
        <w:t>原标项一</w:t>
      </w:r>
      <w:r>
        <w:rPr>
          <w:rFonts w:hint="eastAsia" w:ascii="宋体" w:hAnsi="宋体" w:eastAsia="宋体" w:cs="宋体"/>
          <w:color w:val="auto"/>
          <w:kern w:val="0"/>
          <w:sz w:val="28"/>
          <w:szCs w:val="28"/>
          <w:highlight w:val="none"/>
        </w:rPr>
        <w:t>（广西农药数字监管平台运维服务）适用</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除上述情况外，评审报价=竞标报价。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满足采购文件要求且评审报价最低的评审报价为评标基准价，其价格分为满分。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（2）如有价格扣除时，竞标报价分计算时均按为供应商的实际竞标报价进行价格扣除后的价格进行计算，最终成交金额＝竞标报价。</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w:t>
      </w:r>
      <w:r>
        <w:rPr>
          <w:rFonts w:hint="eastAsia" w:hAnsi="宋体" w:cs="宋体"/>
          <w:b/>
          <w:bCs/>
          <w:color w:val="auto"/>
          <w:sz w:val="21"/>
          <w:highlight w:val="none"/>
          <w:lang w:val="en-US" w:eastAsia="zh-CN"/>
        </w:rPr>
        <w:t>84</w:t>
      </w:r>
      <w:r>
        <w:rPr>
          <w:rFonts w:hint="eastAsia" w:hAnsi="宋体" w:cs="宋体"/>
          <w:b/>
          <w:bCs/>
          <w:color w:val="auto"/>
          <w:sz w:val="21"/>
          <w:highlight w:val="none"/>
        </w:rPr>
        <w:t>分</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分）：对管理系统有基本的了解，服务总体方案的总体服务内容不够全面，方案总体逻辑结构不够清晰；</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分）：对本项目的管理系统有一定的了解，提供的服务总体方案维护思路、难点、特点、关键点描述较清晰，满足项目技术要求；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(2)运维服务方案分（满分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lang w:eastAsia="zh-CN"/>
        </w:rPr>
      </w:pPr>
      <w:r>
        <w:rPr>
          <w:rFonts w:hint="eastAsia" w:hAnsi="宋体" w:cs="宋体"/>
          <w:b w:val="0"/>
          <w:bCs w:val="0"/>
          <w:color w:val="auto"/>
          <w:sz w:val="21"/>
          <w:highlight w:val="none"/>
        </w:rPr>
        <w:t>由评标小组成员根据供应商提供的运维服务方案确定各供应商所属档次并打分</w:t>
      </w:r>
      <w:r>
        <w:rPr>
          <w:rFonts w:hint="eastAsia" w:cs="宋体"/>
          <w:b w:val="0"/>
          <w:bCs w:val="0"/>
          <w:color w:val="auto"/>
          <w:sz w:val="21"/>
          <w:highlight w:val="none"/>
          <w:lang w:eastAsia="zh-CN"/>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一档（0分）：未提供运维服务方案或提供的方案与本项目不相符；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分）：运维服务方案对于开发语言选择、服务器部署、与相关联系统接口数据流设计等系统运维工作内容有合理的叙述，服务内容符合采购需求；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w:t>
      </w:r>
      <w:r>
        <w:rPr>
          <w:rFonts w:hint="eastAsia" w:hAnsi="宋体" w:cs="宋体"/>
          <w:b w:val="0"/>
          <w:bCs w:val="0"/>
          <w:color w:val="auto"/>
          <w:sz w:val="21"/>
          <w:highlight w:val="none"/>
          <w:lang w:eastAsia="zh-CN"/>
        </w:rPr>
        <w:t>5</w:t>
      </w:r>
      <w:r>
        <w:rPr>
          <w:rFonts w:hint="eastAsia" w:hAnsi="宋体" w:cs="宋体"/>
          <w:b w:val="0"/>
          <w:bCs w:val="0"/>
          <w:color w:val="auto"/>
          <w:sz w:val="21"/>
          <w:highlight w:val="none"/>
        </w:rPr>
        <w:t>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w:t>
      </w:r>
      <w:r>
        <w:rPr>
          <w:rFonts w:hint="eastAsia" w:hAnsi="宋体" w:cs="宋体"/>
          <w:b/>
          <w:bCs/>
          <w:color w:val="auto"/>
          <w:sz w:val="21"/>
          <w:highlight w:val="none"/>
          <w:lang w:val="en-US" w:eastAsia="zh-CN"/>
        </w:rPr>
        <w:t>3</w:t>
      </w:r>
      <w:r>
        <w:rPr>
          <w:rFonts w:hint="eastAsia" w:hAnsi="宋体" w:cs="宋体"/>
          <w:b/>
          <w:bCs/>
          <w:color w:val="auto"/>
          <w:sz w:val="21"/>
          <w:highlight w:val="none"/>
        </w:rPr>
        <w:t>）售后服务（满分</w:t>
      </w:r>
      <w:r>
        <w:rPr>
          <w:rFonts w:hint="eastAsia" w:hAnsi="宋体" w:cs="宋体"/>
          <w:b/>
          <w:bCs/>
          <w:color w:val="auto"/>
          <w:sz w:val="21"/>
          <w:highlight w:val="none"/>
          <w:lang w:val="en-US" w:eastAsia="zh-CN"/>
        </w:rPr>
        <w:t>24</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w:t>
      </w:r>
      <w:r>
        <w:rPr>
          <w:rFonts w:hint="eastAsia" w:hAnsi="宋体" w:cs="宋体"/>
          <w:b w:val="0"/>
          <w:bCs w:val="0"/>
          <w:color w:val="auto"/>
          <w:sz w:val="21"/>
          <w:highlight w:val="none"/>
          <w:lang w:eastAsia="zh-CN"/>
        </w:rPr>
        <w:t>售后</w:t>
      </w:r>
      <w:r>
        <w:rPr>
          <w:rFonts w:hint="eastAsia" w:hAnsi="宋体" w:cs="宋体"/>
          <w:b w:val="0"/>
          <w:bCs w:val="0"/>
          <w:color w:val="auto"/>
          <w:sz w:val="21"/>
          <w:highlight w:val="none"/>
        </w:rPr>
        <w:t>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w:t>
      </w:r>
      <w:r>
        <w:rPr>
          <w:rFonts w:hint="eastAsia" w:hAnsi="宋体" w:cs="宋体"/>
          <w:b w:val="0"/>
          <w:bCs w:val="0"/>
          <w:color w:val="auto"/>
          <w:sz w:val="21"/>
          <w:highlight w:val="none"/>
          <w:lang w:eastAsia="zh-CN"/>
        </w:rPr>
        <w:t>售后服务</w:t>
      </w:r>
      <w:r>
        <w:rPr>
          <w:rFonts w:hint="eastAsia" w:hAnsi="宋体" w:cs="宋体"/>
          <w:b w:val="0"/>
          <w:bCs w:val="0"/>
          <w:color w:val="auto"/>
          <w:sz w:val="21"/>
          <w:highlight w:val="none"/>
        </w:rPr>
        <w:t>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w:t>
      </w:r>
      <w:r>
        <w:rPr>
          <w:rFonts w:hint="eastAsia" w:hAnsi="宋体" w:cs="宋体"/>
          <w:color w:val="auto"/>
          <w:sz w:val="21"/>
          <w:highlight w:val="none"/>
          <w:lang w:val="en-US" w:eastAsia="zh-CN"/>
        </w:rPr>
        <w:t>8</w:t>
      </w:r>
      <w:r>
        <w:rPr>
          <w:rFonts w:hint="eastAsia" w:hAnsi="宋体" w:cs="宋体"/>
          <w:color w:val="auto"/>
          <w:sz w:val="21"/>
          <w:highlight w:val="none"/>
        </w:rPr>
        <w:t>分）：服务方案包含有项目售后服务维护，但方案较为简单，缺乏针对性。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w:t>
      </w:r>
      <w:r>
        <w:rPr>
          <w:rFonts w:hint="eastAsia" w:hAnsi="宋体" w:cs="宋体"/>
          <w:color w:val="auto"/>
          <w:sz w:val="21"/>
          <w:highlight w:val="none"/>
          <w:lang w:val="en-US" w:eastAsia="zh-CN"/>
        </w:rPr>
        <w:t>16</w:t>
      </w:r>
      <w:r>
        <w:rPr>
          <w:rFonts w:hint="eastAsia" w:hAnsi="宋体" w:cs="宋体"/>
          <w:color w:val="auto"/>
          <w:sz w:val="21"/>
          <w:highlight w:val="none"/>
        </w:rPr>
        <w:t>分）：方案包含有项目服务维护、保密承诺及廉洁承诺等，且描述了项目维护的方法以及实现方式，方案合理可行，具有针对性。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w:t>
      </w:r>
      <w:r>
        <w:rPr>
          <w:rFonts w:hint="eastAsia" w:hAnsi="宋体" w:cs="宋体"/>
          <w:color w:val="auto"/>
          <w:sz w:val="21"/>
          <w:highlight w:val="none"/>
          <w:lang w:val="en-US" w:eastAsia="zh-CN"/>
        </w:rPr>
        <w:t>24</w:t>
      </w:r>
      <w:r>
        <w:rPr>
          <w:rFonts w:hint="eastAsia" w:hAnsi="宋体" w:cs="宋体"/>
          <w:color w:val="auto"/>
          <w:sz w:val="21"/>
          <w:highlight w:val="none"/>
        </w:rPr>
        <w:t>分）：方案包含有合理可行并且具有针对性的项目售后维护、保密承诺及廉洁承诺等，且描述了项目售后维护的方法以及实现方式，售后服务机构及联系人、技术人员名单等资料详细，服务承诺和保障措施考虑周全完整。</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w:t>
      </w:r>
      <w:r>
        <w:rPr>
          <w:rFonts w:hint="eastAsia" w:hAnsi="宋体" w:cs="宋体"/>
          <w:b/>
          <w:bCs/>
          <w:color w:val="auto"/>
          <w:sz w:val="21"/>
          <w:highlight w:val="none"/>
          <w:lang w:val="en-US" w:eastAsia="zh-CN"/>
        </w:rPr>
        <w:t>6</w:t>
      </w:r>
      <w:r>
        <w:rPr>
          <w:rFonts w:hint="eastAsia" w:hAnsi="宋体" w:cs="宋体"/>
          <w:b/>
          <w:bCs/>
          <w:color w:val="auto"/>
          <w:sz w:val="21"/>
          <w:highlight w:val="none"/>
        </w:rPr>
        <w:t>分</w:t>
      </w:r>
    </w:p>
    <w:p>
      <w:pPr>
        <w:pStyle w:val="23"/>
        <w:spacing w:line="440" w:lineRule="exact"/>
        <w:ind w:firstLine="420"/>
        <w:rPr>
          <w:rFonts w:hint="eastAsia" w:hAnsi="宋体" w:cs="宋体"/>
          <w:color w:val="auto"/>
          <w:sz w:val="21"/>
          <w:highlight w:val="none"/>
        </w:rPr>
      </w:pPr>
      <w:r>
        <w:rPr>
          <w:rFonts w:hint="eastAsia" w:hAnsi="宋体" w:cs="宋体"/>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color w:val="auto"/>
          <w:sz w:val="21"/>
          <w:highlight w:val="none"/>
        </w:rPr>
        <w:t>以来具有同类业绩材料，每有一项得</w:t>
      </w:r>
      <w:r>
        <w:rPr>
          <w:rFonts w:hint="eastAsia" w:hAnsi="宋体" w:cs="宋体"/>
          <w:color w:val="auto"/>
          <w:sz w:val="21"/>
          <w:highlight w:val="none"/>
          <w:lang w:val="en-US" w:eastAsia="zh-CN"/>
        </w:rPr>
        <w:t>3</w:t>
      </w:r>
      <w:r>
        <w:rPr>
          <w:rFonts w:hint="eastAsia" w:hAnsi="宋体" w:cs="宋体"/>
          <w:color w:val="auto"/>
          <w:sz w:val="21"/>
          <w:highlight w:val="none"/>
        </w:rPr>
        <w:t>分，满分</w:t>
      </w:r>
      <w:r>
        <w:rPr>
          <w:rFonts w:hint="eastAsia" w:hAnsi="宋体" w:cs="宋体"/>
          <w:color w:val="auto"/>
          <w:sz w:val="21"/>
          <w:highlight w:val="none"/>
          <w:lang w:val="en-US" w:eastAsia="zh-CN"/>
        </w:rPr>
        <w:t>6</w:t>
      </w:r>
      <w:r>
        <w:rPr>
          <w:rFonts w:hint="eastAsia" w:hAnsi="宋体" w:cs="宋体"/>
          <w:color w:val="auto"/>
          <w:sz w:val="21"/>
          <w:highlight w:val="none"/>
        </w:rPr>
        <w:t>分。（以开具发票或者中标（成交）通知书或合同复印件为准，并加盖供应商公章。）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pPr>
        <w:pStyle w:val="23"/>
        <w:spacing w:line="440" w:lineRule="exact"/>
        <w:ind w:firstLine="420"/>
        <w:rPr>
          <w:rFonts w:hAnsi="宋体" w:cs="宋体"/>
          <w:b/>
          <w:bCs/>
          <w:color w:val="auto"/>
          <w:sz w:val="21"/>
          <w:highlight w:val="none"/>
        </w:rPr>
      </w:pP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本项目确定一名成交供应商。采购单位应当确定磋商小组推荐排名第一的成交候选供应商为成交供应商。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pPr>
        <w:pStyle w:val="23"/>
        <w:spacing w:line="440" w:lineRule="exact"/>
        <w:ind w:firstLine="420"/>
        <w:rPr>
          <w:rFonts w:hAnsi="宋体" w:cs="宋体"/>
          <w:color w:val="auto"/>
          <w:sz w:val="21"/>
          <w:highlight w:val="none"/>
        </w:rPr>
        <w:sectPr>
          <w:headerReference r:id="rId5" w:type="first"/>
          <w:footerReference r:id="rId8" w:type="first"/>
          <w:footerReference r:id="rId6" w:type="default"/>
          <w:footerReference r:id="rId7" w:type="even"/>
          <w:pgSz w:w="11906" w:h="16838"/>
          <w:pgMar w:top="1134" w:right="1247" w:bottom="1134" w:left="1247" w:header="851" w:footer="1310" w:gutter="0"/>
          <w:cols w:space="720" w:num="1"/>
          <w:docGrid w:linePitch="312" w:charSpace="0"/>
        </w:sectPr>
      </w:pPr>
    </w:p>
    <w:bookmarkEnd w:id="59"/>
    <w:p>
      <w:pPr>
        <w:pStyle w:val="5"/>
        <w:spacing w:before="0" w:after="0" w:line="440" w:lineRule="exact"/>
        <w:jc w:val="center"/>
        <w:rPr>
          <w:rFonts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t>原标项二</w:t>
      </w:r>
      <w:r>
        <w:rPr>
          <w:rFonts w:hint="eastAsia" w:ascii="宋体" w:hAnsi="宋体" w:eastAsia="宋体" w:cs="宋体"/>
          <w:color w:val="auto"/>
          <w:kern w:val="0"/>
          <w:sz w:val="28"/>
          <w:szCs w:val="28"/>
          <w:highlight w:val="none"/>
        </w:rPr>
        <w:t>（广西农业农村厅协同办公系统平台运维服务）适用</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政府采购政策扣除：本项目为</w:t>
      </w:r>
      <w:r>
        <w:rPr>
          <w:rFonts w:hint="eastAsia" w:hAnsi="宋体" w:cs="宋体"/>
          <w:color w:val="auto"/>
          <w:sz w:val="21"/>
          <w:highlight w:val="none"/>
          <w:lang w:val="zh-CN"/>
        </w:rPr>
        <w:t>专门面向小微企业采购的项目</w:t>
      </w:r>
      <w:r>
        <w:rPr>
          <w:rFonts w:hint="eastAsia" w:hAnsi="宋体" w:cs="宋体"/>
          <w:color w:val="auto"/>
          <w:sz w:val="21"/>
          <w:highlight w:val="none"/>
        </w:rPr>
        <w:t>，不再执行价格评审优惠的扶持政策，评审报价＝竞标报价。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2、技术分………………………………………………………………………………………70分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(1)服务总体方案（满分20分）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由评标小组成员根据供应商提供的服务总体方案进行独立评审并独立打分。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一档（0分）：未提供服务总体方案或提供的服务总体方案与本项目不相符；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二档（5分）：对管理系统有基本的了解，服务总体方案的总体服务内容不够全面，方案总体逻辑结构不够清晰；</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三档（10分）：对本项目的管理系统有一定的了解，提供的服务总体方案维护思路、难点、特点、关键点描述较清晰，满足项目技术要求；</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对本项目的管理系统的特点了解较全面，提供的服务总体方案维护思路、难点、特点、关键点描述清晰，提出的服务技术方案针对性强。承诺的响应时间、重要时期保障服务、例行检查方案、驻场保障服务方案内容详实，定期预防性检查、故障处理措施可操作性强；</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满足四档的基础上，提供的服务技术方案详细完善，管理流程清晰到位，有符合需求特点的服务监督及保障机制。承诺的响应时间、安全评估服务、例行检查方案情况等内容详细，驻场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(2)运维服务方案分（满分20分）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由评标小组成员根据供应商提供的运维服务方案进行独立评审并独立打分。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一档（0分）：未提供运维服务方案或提供的方案与本项目不相符；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二档（5分）：运维服务方案对于开发语言选择、服务器部署、与相关联系统接口数据流设计等系统运维工作内容有合理的叙述，服务内容符合采购需求；</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五档（20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(3)应急保障方案（满分15分）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根据供应商提供的应急保障方案中项目特点和实际情况的执行方案确定各供应商所属档次并打分。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一档（0分）：未提供应急事件处理方案或提供的方案与本项目不相符；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二档（5分）：提供有应急事件处理方案，符合本项目实际情况，有较完整相应的应急保障内容；</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三档（10分）：应急预案和配合方案具体详实，对应急服务措施、响应时间、质量控制等承诺有较详细描述，有相应的预案演练方案、流程；</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关键业务时间节点（年度结息、年终结算）、关键事件（攻防演练、应急演练、三级等保测评）的应急保障方案合理可行，有相应的应急保障措施（系统备份恢复、灾难应急演练、应用级性能优化、安全性维护、人员职责明确、管理制度完善、保密制度规范、应急预案），对项目的风险预见、风险应对措施完备。</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（4）培训服务方案分（满分15分）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根据供应商提供的培训服务方案中项目特点和实际情况的执行方案确定各供应商所属档次并打分。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一档（0分）：未提供培训方案或提供的内容与本项目不相符；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二档（5分）：有简单的培训计划承诺、内容能满足项目采购需求；</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三档（10分）：提供的培训计划内容描述详细，培训时间安排合理内容完整，培训组织管理计划措施具体可行；</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四档（15分）：培训课程设置合理，培训内容针对性强，课程方案较具体，内容与模块间的关联度高，且培训材料结合本项目培训要求，培训组织管理计划周详、考虑齐全。</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3、商务分………………………………………………………………………………20分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（1）项目团队人员分（满分4分）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项目经理：持有高级信息系统项目管理师证书，并在有效期内得2分，满分2分；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项目驻场人员：持有中级计算机技术与软件专业技术资格证书得2分，满分2分。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（2）履约能力分（满分6分）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供应商具有与本项目履约能力ISO9000系列证书或人力资源服务许可证，每个服务资质证书得2分，满分6分。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（3）项目业绩分（满分10分）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供应商自2022年1月1日以来，具有类似项目案例，每个有效业绩得2分，满分10分。（提供合同或者中标/成交通知书复印件，加盖供应商签章）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pPr>
        <w:pStyle w:val="23"/>
        <w:spacing w:line="440" w:lineRule="exact"/>
        <w:ind w:firstLine="420"/>
        <w:rPr>
          <w:rFonts w:hAnsi="宋体" w:cs="宋体"/>
          <w:b/>
          <w:bCs/>
          <w:color w:val="auto"/>
          <w:sz w:val="21"/>
          <w:highlight w:val="none"/>
        </w:rPr>
      </w:pP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p>
      <w:pPr>
        <w:spacing w:line="440" w:lineRule="exact"/>
        <w:ind w:firstLine="411" w:firstLineChars="196"/>
        <w:rPr>
          <w:rFonts w:ascii="宋体" w:hAnsi="宋体" w:cs="宋体"/>
          <w:color w:val="auto"/>
          <w:szCs w:val="21"/>
          <w:highlight w:val="none"/>
        </w:rPr>
        <w:sectPr>
          <w:pgSz w:w="11906" w:h="16838"/>
          <w:pgMar w:top="1134" w:right="1247" w:bottom="1134" w:left="1247" w:header="851" w:footer="1310" w:gutter="0"/>
          <w:cols w:space="720" w:num="1"/>
          <w:docGrid w:linePitch="312" w:charSpace="0"/>
        </w:sectPr>
      </w:pPr>
    </w:p>
    <w:p>
      <w:pPr>
        <w:pStyle w:val="5"/>
        <w:spacing w:before="0" w:after="0" w:line="440" w:lineRule="exact"/>
        <w:jc w:val="center"/>
        <w:rPr>
          <w:rFonts w:ascii="宋体" w:hAnsi="宋体" w:eastAsia="宋体" w:cs="宋体"/>
          <w:color w:val="auto"/>
          <w:kern w:val="0"/>
          <w:sz w:val="28"/>
          <w:szCs w:val="28"/>
          <w:highlight w:val="none"/>
        </w:rPr>
      </w:pPr>
      <w:bookmarkStart w:id="60" w:name="OLE_LINK55"/>
      <w:bookmarkStart w:id="61" w:name="OLE_LINK59"/>
      <w:r>
        <w:rPr>
          <w:rFonts w:hint="eastAsia" w:ascii="宋体" w:hAnsi="宋体" w:eastAsia="宋体" w:cs="宋体"/>
          <w:color w:val="auto"/>
          <w:kern w:val="0"/>
          <w:sz w:val="28"/>
          <w:szCs w:val="28"/>
          <w:highlight w:val="none"/>
          <w:lang w:eastAsia="zh-CN"/>
        </w:rPr>
        <w:t>原标项四</w:t>
      </w:r>
      <w:r>
        <w:rPr>
          <w:rFonts w:hint="eastAsia" w:ascii="宋体" w:hAnsi="宋体" w:eastAsia="宋体" w:cs="宋体"/>
          <w:color w:val="auto"/>
          <w:kern w:val="0"/>
          <w:sz w:val="28"/>
          <w:szCs w:val="28"/>
          <w:highlight w:val="none"/>
        </w:rPr>
        <w:t>（广西农情信息管理系统运维服务）适用</w:t>
      </w:r>
    </w:p>
    <w:p>
      <w:pPr>
        <w:pStyle w:val="23"/>
        <w:spacing w:line="440" w:lineRule="exact"/>
        <w:ind w:firstLine="420"/>
        <w:rPr>
          <w:rFonts w:hAnsi="宋体" w:cs="宋体"/>
          <w:b/>
          <w:bCs/>
          <w:color w:val="auto"/>
          <w:sz w:val="21"/>
          <w:highlight w:val="none"/>
        </w:rPr>
      </w:pPr>
      <w:bookmarkStart w:id="62" w:name="OLE_LINK69"/>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政府采购促进中小企业发展管理办法》（财库〔2020〕46号）的规定，供应商在其响应文件中按照格式要求提供《中小企业声明函》，且服务全部由小微企业承接，对其最后报价给予10%（范围为10%-20%）的扣除，扣除后的价格为评审价，即评审价=竞标报价×（1-10%）。</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除上述情况外，评审报价=竞标报价。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满足采购文件要求且评审报价最低的评审报价为评标基准价，其价格分为满分。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（2）如有价格扣除时，竞标报价分计算时均按为供应商的实际竞标报价进行价格扣除后的价格进行计算，最终成交金额＝竞标报价。</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2、技术分………………………………………………………………………………………75分</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20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二档（5分）：对管理系统有基本的了解，服务总体方案的总体服务内容不够全面，方案总体逻辑结构不够清晰；</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三档（10分）：对本项目的管理系统有一定的了解，提供的服务总体方案维护思路、难点、特点、关键点描述较清晰，满足项目技术要求；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20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(2)运维服务方案（满分20分）</w:t>
      </w:r>
    </w:p>
    <w:p>
      <w:pPr>
        <w:pStyle w:val="215"/>
        <w:spacing w:line="440" w:lineRule="exact"/>
        <w:ind w:firstLine="445"/>
        <w:rPr>
          <w:rFonts w:hint="eastAsia" w:hAnsi="宋体" w:cs="宋体"/>
          <w:b w:val="0"/>
          <w:bCs w:val="0"/>
          <w:color w:val="auto"/>
          <w:sz w:val="21"/>
          <w:highlight w:val="none"/>
        </w:rPr>
      </w:pPr>
      <w:bookmarkStart w:id="63" w:name="OLE_LINK29"/>
      <w:r>
        <w:rPr>
          <w:rFonts w:hint="eastAsia" w:hAnsi="宋体" w:cs="宋体"/>
          <w:b w:val="0"/>
          <w:bCs w:val="0"/>
          <w:color w:val="auto"/>
          <w:sz w:val="21"/>
          <w:highlight w:val="none"/>
        </w:rPr>
        <w:t>由评标小组成员</w:t>
      </w:r>
      <w:bookmarkEnd w:id="63"/>
      <w:r>
        <w:rPr>
          <w:rFonts w:hint="eastAsia" w:hAnsi="宋体" w:cs="宋体"/>
          <w:b w:val="0"/>
          <w:bCs w:val="0"/>
          <w:color w:val="auto"/>
          <w:sz w:val="21"/>
          <w:highlight w:val="none"/>
        </w:rPr>
        <w:t>根据供应商提供的运维服务方案确定各供应商所属档次并打分。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一档（0分）：未提供运维服务方案或提供的方案与本项目不相符；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二档（5分）：运维服务方案对于开发语言选择、服务器部署、与相关联系统接口数据流设计等系统运维工作内容有合理的叙述，服务内容符合采购需求；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20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(3)</w:t>
      </w:r>
      <w:bookmarkStart w:id="64" w:name="OLE_LINK36"/>
      <w:r>
        <w:rPr>
          <w:rFonts w:hint="eastAsia" w:hAnsi="宋体" w:cs="宋体"/>
          <w:b/>
          <w:bCs/>
          <w:color w:val="auto"/>
          <w:sz w:val="21"/>
          <w:highlight w:val="none"/>
          <w:lang w:eastAsia="zh-CN"/>
        </w:rPr>
        <w:t>农情进度报表配置</w:t>
      </w:r>
      <w:bookmarkEnd w:id="64"/>
      <w:r>
        <w:rPr>
          <w:rFonts w:hint="eastAsia" w:hAnsi="宋体" w:cs="宋体"/>
          <w:b/>
          <w:bCs/>
          <w:color w:val="auto"/>
          <w:sz w:val="21"/>
          <w:highlight w:val="none"/>
        </w:rPr>
        <w:t>方案（满分</w:t>
      </w:r>
      <w:r>
        <w:rPr>
          <w:rFonts w:hint="eastAsia" w:hAnsi="宋体" w:cs="宋体"/>
          <w:b/>
          <w:bCs/>
          <w:color w:val="auto"/>
          <w:sz w:val="21"/>
          <w:highlight w:val="none"/>
          <w:lang w:val="en-US" w:eastAsia="zh-CN"/>
        </w:rPr>
        <w:t>20</w:t>
      </w:r>
      <w:r>
        <w:rPr>
          <w:rFonts w:hint="eastAsia" w:hAnsi="宋体" w:cs="宋体"/>
          <w:b/>
          <w:bCs/>
          <w:color w:val="auto"/>
          <w:sz w:val="21"/>
          <w:highlight w:val="none"/>
        </w:rPr>
        <w:t>分）</w:t>
      </w:r>
    </w:p>
    <w:p>
      <w:pPr>
        <w:pStyle w:val="23"/>
        <w:spacing w:line="440" w:lineRule="exact"/>
        <w:ind w:firstLine="420"/>
        <w:rPr>
          <w:rFonts w:hint="eastAsia" w:hAnsi="宋体" w:cs="宋体"/>
          <w:b w:val="0"/>
          <w:bCs w:val="0"/>
          <w:color w:val="auto"/>
          <w:sz w:val="21"/>
          <w:highlight w:val="none"/>
        </w:rPr>
      </w:pPr>
      <w:bookmarkStart w:id="65" w:name="OLE_LINK65"/>
      <w:r>
        <w:rPr>
          <w:rFonts w:hint="eastAsia" w:hAnsi="宋体" w:cs="宋体"/>
          <w:b w:val="0"/>
          <w:bCs w:val="0"/>
          <w:color w:val="auto"/>
          <w:sz w:val="21"/>
          <w:highlight w:val="none"/>
        </w:rPr>
        <w:t>由评标小组成员</w:t>
      </w:r>
      <w:bookmarkEnd w:id="65"/>
      <w:r>
        <w:rPr>
          <w:rFonts w:hint="eastAsia" w:hAnsi="宋体" w:cs="宋体"/>
          <w:b w:val="0"/>
          <w:bCs w:val="0"/>
          <w:color w:val="auto"/>
          <w:sz w:val="21"/>
          <w:highlight w:val="none"/>
        </w:rPr>
        <w:t>根据供应商提供的</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bookmarkStart w:id="66" w:name="OLE_LINK66"/>
      <w:r>
        <w:rPr>
          <w:rFonts w:hint="eastAsia" w:hAnsi="宋体" w:cs="宋体"/>
          <w:b w:val="0"/>
          <w:bCs w:val="0"/>
          <w:color w:val="auto"/>
          <w:sz w:val="21"/>
          <w:highlight w:val="none"/>
        </w:rPr>
        <w:t>确定各供应商所属档次并打分。</w:t>
      </w:r>
      <w:bookmarkEnd w:id="66"/>
    </w:p>
    <w:p>
      <w:pPr>
        <w:pStyle w:val="23"/>
        <w:spacing w:line="440" w:lineRule="exact"/>
        <w:ind w:firstLine="420"/>
        <w:rPr>
          <w:rFonts w:hint="eastAsia" w:hAnsi="宋体" w:cs="宋体"/>
          <w:b w:val="0"/>
          <w:bCs w:val="0"/>
          <w:color w:val="auto"/>
          <w:sz w:val="21"/>
          <w:highlight w:val="none"/>
        </w:rPr>
      </w:pPr>
      <w:bookmarkStart w:id="67" w:name="OLE_LINK67"/>
      <w:r>
        <w:rPr>
          <w:rFonts w:hint="eastAsia" w:hAnsi="宋体" w:cs="宋体"/>
          <w:b w:val="0"/>
          <w:bCs w:val="0"/>
          <w:color w:val="auto"/>
          <w:sz w:val="21"/>
          <w:highlight w:val="none"/>
        </w:rPr>
        <w:t>一档（0分）：未提</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方案或提供的方案与本项目不相符；</w:t>
      </w:r>
    </w:p>
    <w:bookmarkEnd w:id="67"/>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二档（5分）：提供有</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方案，符合本项目实际情况，有较完整</w:t>
      </w:r>
      <w:r>
        <w:rPr>
          <w:rFonts w:hint="eastAsia" w:hAnsi="宋体" w:cs="宋体"/>
          <w:b w:val="0"/>
          <w:bCs w:val="0"/>
          <w:color w:val="auto"/>
          <w:sz w:val="21"/>
          <w:highlight w:val="none"/>
          <w:lang w:eastAsia="zh-CN"/>
        </w:rPr>
        <w:t>的配置流程</w:t>
      </w:r>
      <w:r>
        <w:rPr>
          <w:rFonts w:hint="eastAsia" w:hAnsi="宋体" w:cs="宋体"/>
          <w:b w:val="0"/>
          <w:bCs w:val="0"/>
          <w:color w:val="auto"/>
          <w:sz w:val="21"/>
          <w:highlight w:val="none"/>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三档（10分）：</w:t>
      </w:r>
      <w:bookmarkStart w:id="68" w:name="OLE_LINK37"/>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bookmarkEnd w:id="68"/>
      <w:r>
        <w:rPr>
          <w:rFonts w:hint="eastAsia" w:hAnsi="宋体" w:cs="宋体"/>
          <w:b w:val="0"/>
          <w:bCs w:val="0"/>
          <w:color w:val="auto"/>
          <w:sz w:val="21"/>
          <w:highlight w:val="none"/>
        </w:rPr>
        <w:t>具体详实，</w:t>
      </w:r>
      <w:bookmarkStart w:id="69" w:name="OLE_LINK57"/>
      <w:r>
        <w:rPr>
          <w:rFonts w:hint="eastAsia" w:hAnsi="宋体" w:cs="宋体"/>
          <w:b w:val="0"/>
          <w:bCs w:val="0"/>
          <w:color w:val="auto"/>
          <w:sz w:val="21"/>
          <w:highlight w:val="none"/>
        </w:rPr>
        <w:t>对</w:t>
      </w:r>
      <w:r>
        <w:rPr>
          <w:rFonts w:hint="eastAsia" w:hAnsi="宋体" w:cs="宋体"/>
          <w:b w:val="0"/>
          <w:bCs w:val="0"/>
          <w:color w:val="auto"/>
          <w:sz w:val="21"/>
          <w:highlight w:val="none"/>
          <w:lang w:eastAsia="zh-CN"/>
        </w:rPr>
        <w:t>配置流程</w:t>
      </w:r>
      <w:r>
        <w:rPr>
          <w:rFonts w:hint="eastAsia" w:hAnsi="宋体" w:cs="宋体"/>
          <w:b w:val="0"/>
          <w:bCs w:val="0"/>
          <w:color w:val="auto"/>
          <w:sz w:val="21"/>
          <w:highlight w:val="none"/>
        </w:rPr>
        <w:t>有较详细描述</w:t>
      </w:r>
      <w:bookmarkEnd w:id="69"/>
      <w:r>
        <w:rPr>
          <w:rFonts w:hint="eastAsia" w:hAnsi="宋体" w:cs="宋体"/>
          <w:b w:val="0"/>
          <w:bCs w:val="0"/>
          <w:color w:val="auto"/>
          <w:sz w:val="21"/>
          <w:highlight w:val="none"/>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四档（15分）：</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r>
        <w:rPr>
          <w:rFonts w:hint="eastAsia" w:hAnsi="宋体" w:cs="宋体"/>
          <w:b w:val="0"/>
          <w:bCs w:val="0"/>
          <w:color w:val="auto"/>
          <w:sz w:val="21"/>
          <w:highlight w:val="none"/>
          <w:lang w:eastAsia="zh-CN"/>
        </w:rPr>
        <w:t>贴合系统实际，</w:t>
      </w:r>
      <w:bookmarkStart w:id="70" w:name="OLE_LINK58"/>
      <w:r>
        <w:rPr>
          <w:rFonts w:hint="eastAsia" w:hAnsi="宋体" w:cs="宋体"/>
          <w:b w:val="0"/>
          <w:bCs w:val="0"/>
          <w:color w:val="auto"/>
          <w:sz w:val="21"/>
          <w:highlight w:val="none"/>
          <w:lang w:eastAsia="zh-CN"/>
        </w:rPr>
        <w:t>详细描述配置流程、测试流程</w:t>
      </w:r>
      <w:bookmarkEnd w:id="70"/>
      <w:r>
        <w:rPr>
          <w:rFonts w:hint="eastAsia" w:hAnsi="宋体" w:cs="宋体"/>
          <w:b w:val="0"/>
          <w:bCs w:val="0"/>
          <w:color w:val="auto"/>
          <w:sz w:val="21"/>
          <w:highlight w:val="none"/>
        </w:rPr>
        <w:t>。</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五</w:t>
      </w:r>
      <w:r>
        <w:rPr>
          <w:rFonts w:hint="eastAsia" w:hAnsi="宋体" w:cs="宋体"/>
          <w:b w:val="0"/>
          <w:bCs w:val="0"/>
          <w:color w:val="auto"/>
          <w:sz w:val="21"/>
          <w:highlight w:val="none"/>
        </w:rPr>
        <w:t>档（</w:t>
      </w:r>
      <w:r>
        <w:rPr>
          <w:rFonts w:hint="eastAsia" w:hAnsi="宋体" w:cs="宋体"/>
          <w:b w:val="0"/>
          <w:bCs w:val="0"/>
          <w:color w:val="auto"/>
          <w:sz w:val="21"/>
          <w:highlight w:val="none"/>
          <w:lang w:val="en-US" w:eastAsia="zh-CN"/>
        </w:rPr>
        <w:t>20</w:t>
      </w:r>
      <w:r>
        <w:rPr>
          <w:rFonts w:hint="eastAsia" w:hAnsi="宋体" w:cs="宋体"/>
          <w:b w:val="0"/>
          <w:bCs w:val="0"/>
          <w:color w:val="auto"/>
          <w:sz w:val="21"/>
          <w:highlight w:val="none"/>
        </w:rPr>
        <w:t>分）：</w:t>
      </w:r>
      <w:r>
        <w:rPr>
          <w:rFonts w:hint="eastAsia" w:hAnsi="宋体" w:cs="宋体"/>
          <w:b w:val="0"/>
          <w:bCs w:val="0"/>
          <w:color w:val="auto"/>
          <w:sz w:val="21"/>
          <w:highlight w:val="none"/>
          <w:lang w:eastAsia="zh-CN"/>
        </w:rPr>
        <w:t>农情进度报表配置</w:t>
      </w:r>
      <w:r>
        <w:rPr>
          <w:rFonts w:hint="eastAsia" w:hAnsi="宋体" w:cs="宋体"/>
          <w:b w:val="0"/>
          <w:bCs w:val="0"/>
          <w:color w:val="auto"/>
          <w:sz w:val="21"/>
          <w:highlight w:val="none"/>
        </w:rPr>
        <w:t>方案</w:t>
      </w:r>
      <w:r>
        <w:rPr>
          <w:rFonts w:hint="eastAsia" w:hAnsi="宋体" w:cs="宋体"/>
          <w:b w:val="0"/>
          <w:bCs w:val="0"/>
          <w:color w:val="auto"/>
          <w:sz w:val="21"/>
          <w:highlight w:val="none"/>
          <w:lang w:eastAsia="zh-CN"/>
        </w:rPr>
        <w:t>贴合系统实际，详细描述配置流程、测试流程，有</w:t>
      </w:r>
      <w:r>
        <w:rPr>
          <w:rFonts w:hint="eastAsia" w:hAnsi="宋体" w:cs="宋体"/>
          <w:b w:val="0"/>
          <w:bCs w:val="0"/>
          <w:color w:val="auto"/>
          <w:sz w:val="21"/>
          <w:highlight w:val="none"/>
          <w:lang w:val="en-US" w:eastAsia="zh-CN"/>
        </w:rPr>
        <w:t>1—2个配置案例，</w:t>
      </w:r>
      <w:r>
        <w:rPr>
          <w:rFonts w:hint="eastAsia" w:hAnsi="宋体" w:cs="宋体"/>
          <w:b w:val="0"/>
          <w:bCs w:val="0"/>
          <w:color w:val="auto"/>
          <w:sz w:val="21"/>
          <w:highlight w:val="none"/>
          <w:lang w:eastAsia="zh-CN"/>
        </w:rPr>
        <w:t>逻辑设置</w:t>
      </w:r>
      <w:r>
        <w:rPr>
          <w:rFonts w:hint="eastAsia" w:hAnsi="宋体" w:cs="宋体"/>
          <w:b w:val="0"/>
          <w:bCs w:val="0"/>
          <w:color w:val="auto"/>
          <w:sz w:val="21"/>
          <w:highlight w:val="none"/>
        </w:rPr>
        <w:t>合理可行。</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（4）售后服务方案（满分15分）</w:t>
      </w:r>
    </w:p>
    <w:p>
      <w:pPr>
        <w:pStyle w:val="215"/>
        <w:spacing w:line="440" w:lineRule="exact"/>
        <w:ind w:firstLine="445"/>
        <w:rPr>
          <w:color w:val="auto"/>
          <w:sz w:val="21"/>
          <w:szCs w:val="21"/>
          <w:highlight w:val="none"/>
          <w:lang w:eastAsia="zh-CN"/>
        </w:rPr>
      </w:pPr>
      <w:r>
        <w:rPr>
          <w:rFonts w:hint="eastAsia" w:hAnsi="宋体" w:cs="宋体"/>
          <w:b w:val="0"/>
          <w:bCs w:val="0"/>
          <w:color w:val="auto"/>
          <w:sz w:val="21"/>
          <w:highlight w:val="none"/>
        </w:rPr>
        <w:t>由评标小组成员</w:t>
      </w:r>
      <w:r>
        <w:rPr>
          <w:rFonts w:hint="eastAsia"/>
          <w:color w:val="auto"/>
          <w:spacing w:val="12"/>
          <w:sz w:val="21"/>
          <w:szCs w:val="21"/>
          <w:highlight w:val="none"/>
          <w:lang w:eastAsia="zh-CN"/>
        </w:rPr>
        <w:t>根据供应商的</w:t>
      </w:r>
      <w:bookmarkStart w:id="71" w:name="OLE_LINK68"/>
      <w:r>
        <w:rPr>
          <w:rFonts w:hint="eastAsia"/>
          <w:color w:val="auto"/>
          <w:spacing w:val="12"/>
          <w:sz w:val="21"/>
          <w:szCs w:val="21"/>
          <w:highlight w:val="none"/>
          <w:lang w:eastAsia="zh-CN"/>
        </w:rPr>
        <w:t>售后服务方案</w:t>
      </w:r>
      <w:bookmarkEnd w:id="71"/>
      <w:bookmarkStart w:id="72" w:name="OLE_LINK70"/>
      <w:r>
        <w:rPr>
          <w:rFonts w:hint="eastAsia" w:hAnsi="宋体" w:cs="宋体"/>
          <w:b w:val="0"/>
          <w:bCs w:val="0"/>
          <w:color w:val="auto"/>
          <w:sz w:val="21"/>
          <w:highlight w:val="none"/>
        </w:rPr>
        <w:t>确定各供应商所属档次并打分。</w:t>
      </w:r>
    </w:p>
    <w:bookmarkEnd w:id="72"/>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w:t>
      </w:r>
      <w:r>
        <w:rPr>
          <w:rFonts w:hint="eastAsia"/>
          <w:color w:val="auto"/>
          <w:spacing w:val="12"/>
          <w:sz w:val="21"/>
          <w:szCs w:val="21"/>
          <w:highlight w:val="none"/>
          <w:lang w:eastAsia="zh-CN"/>
        </w:rPr>
        <w:t>售后服务方案</w:t>
      </w:r>
      <w:r>
        <w:rPr>
          <w:rFonts w:hint="eastAsia" w:hAnsi="宋体" w:cs="宋体"/>
          <w:b w:val="0"/>
          <w:bCs w:val="0"/>
          <w:color w:val="auto"/>
          <w:sz w:val="21"/>
          <w:highlight w:val="none"/>
        </w:rPr>
        <w:t>或提供的方案与本项目不相符；</w:t>
      </w:r>
    </w:p>
    <w:p>
      <w:pPr>
        <w:pStyle w:val="215"/>
        <w:spacing w:line="440" w:lineRule="exact"/>
        <w:ind w:firstLine="423"/>
        <w:rPr>
          <w:color w:val="auto"/>
          <w:sz w:val="21"/>
          <w:szCs w:val="21"/>
          <w:highlight w:val="none"/>
          <w:lang w:eastAsia="zh-CN"/>
        </w:rPr>
      </w:pPr>
      <w:r>
        <w:rPr>
          <w:rFonts w:hint="eastAsia"/>
          <w:color w:val="auto"/>
          <w:spacing w:val="8"/>
          <w:sz w:val="21"/>
          <w:szCs w:val="21"/>
          <w:highlight w:val="none"/>
          <w:lang w:eastAsia="zh-CN"/>
        </w:rPr>
        <w:t>二档（5分</w:t>
      </w:r>
      <w:r>
        <w:rPr>
          <w:rFonts w:hint="eastAsia"/>
          <w:color w:val="auto"/>
          <w:spacing w:val="16"/>
          <w:sz w:val="21"/>
          <w:szCs w:val="21"/>
          <w:highlight w:val="none"/>
          <w:lang w:eastAsia="zh-CN"/>
        </w:rPr>
        <w:t>）：</w:t>
      </w:r>
      <w:r>
        <w:rPr>
          <w:rFonts w:hint="eastAsia"/>
          <w:color w:val="auto"/>
          <w:spacing w:val="8"/>
          <w:sz w:val="21"/>
          <w:szCs w:val="21"/>
          <w:highlight w:val="none"/>
          <w:lang w:eastAsia="zh-CN"/>
        </w:rPr>
        <w:t>服务方案基本满足采购文件要求，提</w:t>
      </w:r>
      <w:r>
        <w:rPr>
          <w:rFonts w:hint="eastAsia"/>
          <w:color w:val="auto"/>
          <w:spacing w:val="7"/>
          <w:sz w:val="21"/>
          <w:szCs w:val="21"/>
          <w:highlight w:val="none"/>
          <w:lang w:eastAsia="zh-CN"/>
        </w:rPr>
        <w:t>供简单的服务质量措施和承诺，有简单的后续服务承诺，</w:t>
      </w:r>
      <w:r>
        <w:rPr>
          <w:rFonts w:hint="eastAsia"/>
          <w:color w:val="auto"/>
          <w:spacing w:val="9"/>
          <w:sz w:val="21"/>
          <w:szCs w:val="21"/>
          <w:highlight w:val="none"/>
          <w:lang w:eastAsia="zh-CN"/>
        </w:rPr>
        <w:t>服务机构体系和保障措施简单，基本满足项目需求。</w:t>
      </w:r>
    </w:p>
    <w:p>
      <w:pPr>
        <w:pStyle w:val="215"/>
        <w:spacing w:line="440" w:lineRule="exact"/>
        <w:ind w:firstLine="423"/>
        <w:rPr>
          <w:color w:val="auto"/>
          <w:sz w:val="21"/>
          <w:szCs w:val="21"/>
          <w:highlight w:val="none"/>
          <w:lang w:eastAsia="zh-CN"/>
        </w:rPr>
      </w:pPr>
      <w:r>
        <w:rPr>
          <w:rFonts w:hint="eastAsia"/>
          <w:color w:val="auto"/>
          <w:spacing w:val="8"/>
          <w:sz w:val="21"/>
          <w:szCs w:val="21"/>
          <w:highlight w:val="none"/>
          <w:lang w:eastAsia="zh-CN"/>
        </w:rPr>
        <w:t>三档（10分</w:t>
      </w:r>
      <w:r>
        <w:rPr>
          <w:rFonts w:hint="eastAsia"/>
          <w:color w:val="auto"/>
          <w:spacing w:val="16"/>
          <w:sz w:val="21"/>
          <w:szCs w:val="21"/>
          <w:highlight w:val="none"/>
          <w:lang w:eastAsia="zh-CN"/>
        </w:rPr>
        <w:t>）：</w:t>
      </w:r>
      <w:r>
        <w:rPr>
          <w:rFonts w:hint="eastAsia"/>
          <w:color w:val="auto"/>
          <w:spacing w:val="8"/>
          <w:sz w:val="21"/>
          <w:szCs w:val="21"/>
          <w:highlight w:val="none"/>
          <w:lang w:eastAsia="zh-CN"/>
        </w:rPr>
        <w:t>服务方案完全满足采购文件要求，提</w:t>
      </w:r>
      <w:r>
        <w:rPr>
          <w:rFonts w:hint="eastAsia"/>
          <w:color w:val="auto"/>
          <w:spacing w:val="7"/>
          <w:sz w:val="21"/>
          <w:szCs w:val="21"/>
          <w:highlight w:val="none"/>
          <w:lang w:eastAsia="zh-CN"/>
        </w:rPr>
        <w:t>供详细的服务质量措施和承诺，有详细的后续服务承诺，</w:t>
      </w:r>
      <w:r>
        <w:rPr>
          <w:rFonts w:hint="eastAsia"/>
          <w:color w:val="auto"/>
          <w:spacing w:val="8"/>
          <w:sz w:val="21"/>
          <w:szCs w:val="21"/>
          <w:highlight w:val="none"/>
          <w:lang w:eastAsia="zh-CN"/>
        </w:rPr>
        <w:t>服务机构体系和保障措施具体、基本可行。</w:t>
      </w:r>
    </w:p>
    <w:p>
      <w:pPr>
        <w:pStyle w:val="23"/>
        <w:spacing w:line="440" w:lineRule="exact"/>
        <w:ind w:firstLine="420"/>
        <w:rPr>
          <w:rFonts w:hAnsi="宋体" w:cs="宋体"/>
          <w:color w:val="auto"/>
          <w:sz w:val="21"/>
          <w:highlight w:val="none"/>
        </w:rPr>
      </w:pPr>
      <w:r>
        <w:rPr>
          <w:rFonts w:hint="eastAsia" w:hAnsi="宋体" w:cs="宋体"/>
          <w:color w:val="auto"/>
          <w:spacing w:val="4"/>
          <w:sz w:val="21"/>
          <w:highlight w:val="none"/>
          <w:lang w:eastAsia="zh-CN"/>
        </w:rPr>
        <w:t>四</w:t>
      </w:r>
      <w:r>
        <w:rPr>
          <w:rFonts w:hint="eastAsia" w:hAnsi="宋体" w:cs="宋体"/>
          <w:color w:val="auto"/>
          <w:spacing w:val="4"/>
          <w:sz w:val="21"/>
          <w:highlight w:val="none"/>
        </w:rPr>
        <w:t>档（15分</w:t>
      </w:r>
      <w:r>
        <w:rPr>
          <w:rFonts w:hint="eastAsia" w:hAnsi="宋体" w:cs="宋体"/>
          <w:color w:val="auto"/>
          <w:spacing w:val="5"/>
          <w:sz w:val="21"/>
          <w:highlight w:val="none"/>
        </w:rPr>
        <w:t>）：</w:t>
      </w:r>
      <w:r>
        <w:rPr>
          <w:rFonts w:hint="eastAsia" w:hAnsi="宋体" w:cs="宋体"/>
          <w:color w:val="auto"/>
          <w:spacing w:val="4"/>
          <w:sz w:val="21"/>
          <w:highlight w:val="none"/>
        </w:rPr>
        <w:t>服务方案完善可行，目标明确，内</w:t>
      </w:r>
      <w:r>
        <w:rPr>
          <w:rFonts w:hint="eastAsia" w:hAnsi="宋体" w:cs="宋体"/>
          <w:color w:val="auto"/>
          <w:spacing w:val="13"/>
          <w:sz w:val="21"/>
          <w:highlight w:val="none"/>
        </w:rPr>
        <w:t>容全面、措施得力，有优于采购文件要求的内容，能提供完善、可行、有针对性的服务质量措施和承诺，有详</w:t>
      </w:r>
      <w:r>
        <w:rPr>
          <w:rFonts w:hint="eastAsia" w:hAnsi="宋体" w:cs="宋体"/>
          <w:color w:val="auto"/>
          <w:spacing w:val="7"/>
          <w:sz w:val="21"/>
          <w:highlight w:val="none"/>
        </w:rPr>
        <w:t>细完善的后续服务承诺，服务机构体系和保障措施完善、可行合理，对本项目的实际后续服务保障工作切实有效，</w:t>
      </w:r>
      <w:r>
        <w:rPr>
          <w:rFonts w:hint="eastAsia" w:hAnsi="宋体" w:cs="宋体"/>
          <w:color w:val="auto"/>
          <w:spacing w:val="5"/>
          <w:sz w:val="21"/>
          <w:highlight w:val="none"/>
        </w:rPr>
        <w:t>有针对性</w:t>
      </w:r>
      <w:r>
        <w:rPr>
          <w:rFonts w:hint="eastAsia" w:hAnsi="宋体" w:cs="宋体"/>
          <w:color w:val="auto"/>
          <w:sz w:val="21"/>
          <w:highlight w:val="none"/>
        </w:rPr>
        <w:t>。</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3、商务分………………………………………………………………………………15分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1</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b w:val="0"/>
          <w:bCs w:val="0"/>
          <w:color w:val="auto"/>
          <w:sz w:val="21"/>
          <w:highlight w:val="none"/>
        </w:rPr>
        <w:t>以来具有同类业绩材料，每有一项得</w:t>
      </w:r>
      <w:r>
        <w:rPr>
          <w:rFonts w:hint="eastAsia" w:hAnsi="宋体" w:cs="宋体"/>
          <w:b w:val="0"/>
          <w:bCs w:val="0"/>
          <w:color w:val="auto"/>
          <w:sz w:val="21"/>
          <w:highlight w:val="none"/>
          <w:lang w:val="en-US" w:eastAsia="zh-CN"/>
        </w:rPr>
        <w:t>2</w:t>
      </w:r>
      <w:r>
        <w:rPr>
          <w:rFonts w:hint="eastAsia" w:hAnsi="宋体" w:cs="宋体"/>
          <w:b w:val="0"/>
          <w:bCs w:val="0"/>
          <w:color w:val="auto"/>
          <w:sz w:val="21"/>
          <w:highlight w:val="none"/>
        </w:rPr>
        <w:t>分，满分</w:t>
      </w:r>
      <w:r>
        <w:rPr>
          <w:rFonts w:hint="eastAsia" w:hAnsi="宋体" w:cs="宋体"/>
          <w:b w:val="0"/>
          <w:bCs w:val="0"/>
          <w:color w:val="auto"/>
          <w:sz w:val="21"/>
          <w:highlight w:val="none"/>
          <w:lang w:val="en-US" w:eastAsia="zh-CN"/>
        </w:rPr>
        <w:t>6</w:t>
      </w:r>
      <w:r>
        <w:rPr>
          <w:rFonts w:hint="eastAsia" w:hAnsi="宋体" w:cs="宋体"/>
          <w:b w:val="0"/>
          <w:bCs w:val="0"/>
          <w:color w:val="auto"/>
          <w:sz w:val="21"/>
          <w:highlight w:val="none"/>
        </w:rPr>
        <w:t>分。（以开具发票或者中标（成交）通知书或合同复印件为准，并加盖供应商公章。）</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2</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供应商具备ISO14001环境管理体系认证证书、ISO9001质量管理体系认证证书，每个认证证书得1分，满分2分。（需在响应文件中提供有效证书复印件，不提供，不得分）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3</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供应商具备ITSS运行维护服务能力成熟度模型证书，一级证书得3分，二级证书得2分，三级证书得1分，满分3分。（需在响应文件中提供有效证书复印件，不提供，不得分）。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lang w:eastAsia="zh-CN"/>
        </w:rPr>
        <w:t>（</w:t>
      </w:r>
      <w:r>
        <w:rPr>
          <w:rFonts w:hint="eastAsia" w:hAnsi="宋体" w:cs="宋体"/>
          <w:b w:val="0"/>
          <w:bCs w:val="0"/>
          <w:color w:val="auto"/>
          <w:sz w:val="21"/>
          <w:highlight w:val="none"/>
          <w:lang w:val="en-US" w:eastAsia="zh-CN"/>
        </w:rPr>
        <w:t>4</w:t>
      </w:r>
      <w:r>
        <w:rPr>
          <w:rFonts w:hint="eastAsia" w:hAnsi="宋体" w:cs="宋体"/>
          <w:b w:val="0"/>
          <w:bCs w:val="0"/>
          <w:color w:val="auto"/>
          <w:sz w:val="21"/>
          <w:highlight w:val="none"/>
          <w:lang w:eastAsia="zh-CN"/>
        </w:rPr>
        <w:t>）</w:t>
      </w:r>
      <w:r>
        <w:rPr>
          <w:rFonts w:hint="eastAsia" w:hAnsi="宋体" w:cs="宋体"/>
          <w:b w:val="0"/>
          <w:bCs w:val="0"/>
          <w:color w:val="auto"/>
          <w:sz w:val="21"/>
          <w:highlight w:val="none"/>
        </w:rPr>
        <w:t>供应商具备ITSS云服务IAAS、SAAS能力标准评估证书，每项评估证书三级证书得1分，二级及以上证书得2分，满分4分。（需在响应文件中提供有效证书复印件，不提供，不得分）。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bookmarkEnd w:id="60"/>
    <w:p>
      <w:pPr>
        <w:pStyle w:val="23"/>
        <w:spacing w:line="440" w:lineRule="exact"/>
        <w:ind w:firstLine="420"/>
        <w:rPr>
          <w:rFonts w:hAnsi="宋体" w:cs="宋体"/>
          <w:b/>
          <w:bCs/>
          <w:color w:val="auto"/>
          <w:sz w:val="21"/>
          <w:highlight w:val="none"/>
        </w:rPr>
      </w:pP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spacing w:line="440" w:lineRule="exact"/>
        <w:ind w:firstLine="411" w:firstLineChars="196"/>
        <w:rPr>
          <w:rFonts w:ascii="宋体" w:hAnsi="宋体" w:cs="宋体"/>
          <w:color w:val="auto"/>
          <w:szCs w:val="21"/>
          <w:highlight w:val="none"/>
        </w:rPr>
        <w:sectPr>
          <w:headerReference r:id="rId9" w:type="default"/>
          <w:footerReference r:id="rId10" w:type="default"/>
          <w:pgSz w:w="11906" w:h="16838"/>
          <w:pgMar w:top="1134" w:right="1247" w:bottom="1134" w:left="1247" w:header="851" w:footer="1310" w:gutter="0"/>
          <w:cols w:space="720" w:num="1"/>
          <w:docGrid w:linePitch="312" w:charSpace="0"/>
        </w:sect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p>
    <w:bookmarkEnd w:id="61"/>
    <w:bookmarkEnd w:id="62"/>
    <w:p>
      <w:pPr>
        <w:pStyle w:val="5"/>
        <w:spacing w:before="0" w:after="0" w:line="440" w:lineRule="exact"/>
        <w:jc w:val="center"/>
        <w:rPr>
          <w:rFonts w:ascii="宋体" w:hAnsi="宋体" w:eastAsia="宋体" w:cs="宋体"/>
          <w:color w:val="auto"/>
          <w:kern w:val="0"/>
          <w:sz w:val="28"/>
          <w:szCs w:val="28"/>
          <w:highlight w:val="none"/>
        </w:rPr>
      </w:pPr>
      <w:bookmarkStart w:id="73" w:name="OLE_LINK56"/>
      <w:bookmarkStart w:id="74" w:name="OLE_LINK60"/>
      <w:r>
        <w:rPr>
          <w:rFonts w:hint="eastAsia" w:ascii="宋体" w:hAnsi="宋体" w:eastAsia="宋体" w:cs="宋体"/>
          <w:color w:val="auto"/>
          <w:kern w:val="0"/>
          <w:sz w:val="28"/>
          <w:szCs w:val="28"/>
          <w:highlight w:val="none"/>
          <w:lang w:eastAsia="zh-CN"/>
        </w:rPr>
        <w:t>原标项五</w:t>
      </w:r>
      <w:r>
        <w:rPr>
          <w:rFonts w:hint="eastAsia" w:ascii="宋体" w:hAnsi="宋体" w:eastAsia="宋体" w:cs="宋体"/>
          <w:color w:val="auto"/>
          <w:kern w:val="0"/>
          <w:sz w:val="28"/>
          <w:szCs w:val="28"/>
          <w:highlight w:val="none"/>
        </w:rPr>
        <w:t>（广西农业自然灾害预警监控系统运维服务）适用</w:t>
      </w:r>
    </w:p>
    <w:p>
      <w:pPr>
        <w:pStyle w:val="23"/>
        <w:spacing w:line="440" w:lineRule="exact"/>
        <w:ind w:firstLine="420"/>
        <w:rPr>
          <w:rFonts w:hAnsi="宋体" w:cs="宋体"/>
          <w:b/>
          <w:bCs/>
          <w:color w:val="auto"/>
          <w:sz w:val="21"/>
          <w:highlight w:val="none"/>
        </w:rPr>
      </w:pPr>
      <w:bookmarkStart w:id="75" w:name="OLE_LINK71"/>
      <w:r>
        <w:rPr>
          <w:rFonts w:hint="eastAsia" w:hAnsi="宋体" w:cs="宋体"/>
          <w:b/>
          <w:bCs/>
          <w:color w:val="auto"/>
          <w:sz w:val="21"/>
          <w:highlight w:val="none"/>
        </w:rPr>
        <w:t>一、评标原则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(一)“磋商小组”构成：本采购项目的“磋商小组”分别由依法组成的评审专家、采购人代表共</w:t>
      </w:r>
      <w:r>
        <w:rPr>
          <w:rFonts w:hint="eastAsia" w:ascii="宋体" w:hAnsi="宋体" w:cs="宋体"/>
          <w:color w:val="auto"/>
          <w:szCs w:val="21"/>
          <w:highlight w:val="none"/>
          <w:u w:val="single"/>
        </w:rPr>
        <w:t>三</w:t>
      </w:r>
      <w:r>
        <w:rPr>
          <w:rFonts w:hint="eastAsia" w:ascii="宋体" w:hAnsi="宋体" w:cs="宋体"/>
          <w:color w:val="auto"/>
          <w:szCs w:val="21"/>
          <w:highlight w:val="none"/>
        </w:rPr>
        <w:t>人以上单数构成，其中评审专家人数不少于成员总数的三分之二。</w:t>
      </w:r>
    </w:p>
    <w:p>
      <w:pPr>
        <w:pStyle w:val="23"/>
        <w:spacing w:line="440" w:lineRule="exact"/>
        <w:ind w:firstLine="420"/>
        <w:rPr>
          <w:rFonts w:hAnsi="宋体" w:cs="宋体"/>
          <w:color w:val="auto"/>
          <w:kern w:val="2"/>
          <w:sz w:val="21"/>
          <w:highlight w:val="none"/>
        </w:rPr>
      </w:pPr>
      <w:r>
        <w:rPr>
          <w:rFonts w:hint="eastAsia" w:hAnsi="宋体" w:cs="宋体"/>
          <w:color w:val="auto"/>
          <w:kern w:val="2"/>
          <w:sz w:val="21"/>
          <w:highlight w:val="none"/>
        </w:rPr>
        <w:t>(二)评审依据：磋商小组将以磋商响应文件为评审依据，对供应商的报价、技术服务方案、商务等方面内容按百分制打分。（计分方法按四舍五入取至百分位）。</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（三）评标方式：以封闭方式进行。评审全过程中不允许供应商与“磋商小组”之间有可能影响到评审结果公正性的私下会面与谈话，以体现公平、公正的基本原则。</w:t>
      </w:r>
    </w:p>
    <w:p>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（四）采购人和采购代理机构、评标委员会成员要严格遵守政府采购相关法律制度，依法履行各自职责，公正、客观、审慎地组织和参与评审工作。</w:t>
      </w:r>
    </w:p>
    <w:p>
      <w:pPr>
        <w:snapToGrid w:val="0"/>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二、评标方法</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对进入详评的，采用百分制综合评分法，计分办法（按四舍五入取至百分位）：</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1、价格分………………………………………………………………………………………10分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（1）政府采购政策扣除</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政府采购政策扣除：本项目为专门面向</w:t>
      </w:r>
      <w:r>
        <w:rPr>
          <w:rFonts w:hint="eastAsia" w:hAnsi="宋体" w:cs="宋体"/>
          <w:color w:val="auto"/>
          <w:sz w:val="21"/>
          <w:highlight w:val="none"/>
          <w:lang w:eastAsia="zh-CN"/>
        </w:rPr>
        <w:t>小微</w:t>
      </w:r>
      <w:r>
        <w:rPr>
          <w:rFonts w:hint="eastAsia" w:hAnsi="宋体" w:cs="宋体"/>
          <w:color w:val="auto"/>
          <w:sz w:val="21"/>
          <w:highlight w:val="none"/>
        </w:rPr>
        <w:t>企业采购的项目，不再执行价格评审优惠的扶持政策，评审报价＝竞标报价。</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（2）价格分（满分10分）</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满足磋商文件要求且评审报价最低的有效供应商的评审报价为评标基准价，其报价分为满分。其他供应商的价格分统一按照下列公式计算：某有效供应商的价格分=（评标基准价／某有效供应商评审报价）×10 分。</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2、技术分………………………………………………………………………………………</w:t>
      </w:r>
      <w:r>
        <w:rPr>
          <w:rFonts w:hint="eastAsia" w:hAnsi="宋体" w:cs="宋体"/>
          <w:b/>
          <w:bCs/>
          <w:color w:val="auto"/>
          <w:sz w:val="21"/>
          <w:highlight w:val="none"/>
          <w:lang w:val="en-US" w:eastAsia="zh-CN"/>
        </w:rPr>
        <w:t>84</w:t>
      </w:r>
      <w:r>
        <w:rPr>
          <w:rFonts w:hint="eastAsia" w:hAnsi="宋体" w:cs="宋体"/>
          <w:b/>
          <w:bCs/>
          <w:color w:val="auto"/>
          <w:sz w:val="21"/>
          <w:highlight w:val="none"/>
        </w:rPr>
        <w:t>分</w:t>
      </w:r>
    </w:p>
    <w:p>
      <w:pPr>
        <w:pStyle w:val="23"/>
        <w:spacing w:line="440" w:lineRule="exact"/>
        <w:ind w:firstLine="420"/>
        <w:rPr>
          <w:rFonts w:hint="eastAsia" w:hAnsi="宋体" w:cs="宋体"/>
          <w:b/>
          <w:bCs/>
          <w:color w:val="auto"/>
          <w:sz w:val="21"/>
          <w:highlight w:val="none"/>
        </w:rPr>
      </w:pPr>
      <w:bookmarkStart w:id="76" w:name="OLE_LINK74"/>
      <w:r>
        <w:rPr>
          <w:rFonts w:hint="eastAsia" w:hAnsi="宋体" w:cs="宋体"/>
          <w:b/>
          <w:bCs/>
          <w:color w:val="auto"/>
          <w:sz w:val="21"/>
          <w:highlight w:val="none"/>
        </w:rPr>
        <w:t>(1)服务总体方案（满分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由评标小组成员根据供应商提供的服务总体方案确定各供应商所属档次并打分。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一档（0分）：未提供服务总体方案或提供的服务总体方案与本项目不相符；</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分）：对管理系统有基本的了解，服务总体方案的总体服务内容不够全面，方案总体逻辑结构不够清晰；</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分）：对本项目的管理系统有一定的了解，提供的服务总体方案维护思路、难点、特点、关键点描述较清晰，满足项目技术要求；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对本项目的管理系统的特点了解较全面，提供的服务总体方案维护思路、难点、特点、关键点描述清晰，提出的服务技术方案针对性强。承诺的响应时间、重要时期保障服务、例行检查方案、保障服务方案内容详实，定期预防性检查、故障处理措施可操作性强；</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满足四档的基础上，提供的服务技术方案详细完善，管理流程清晰到位，有符合需求特点的服务监督及保障机制。承诺的响应时间、安全评估服务、例行检查方案情况等内容详细，保障服务方案能有效保障项目的整体实施；制定有定期预防性检查、故障处理措施，有针对重要时期保障措施、人员保障预案、资源协调预案，与服务对象的工作衔接能有效的实施维护工作。</w:t>
      </w:r>
    </w:p>
    <w:p>
      <w:pPr>
        <w:pStyle w:val="23"/>
        <w:spacing w:line="440" w:lineRule="exact"/>
        <w:ind w:firstLine="420"/>
        <w:rPr>
          <w:rFonts w:hint="eastAsia" w:hAnsi="宋体" w:cs="宋体"/>
          <w:b/>
          <w:bCs/>
          <w:color w:val="auto"/>
          <w:sz w:val="21"/>
          <w:highlight w:val="none"/>
        </w:rPr>
      </w:pPr>
      <w:r>
        <w:rPr>
          <w:rFonts w:hint="eastAsia" w:hAnsi="宋体" w:cs="宋体"/>
          <w:b/>
          <w:bCs/>
          <w:color w:val="auto"/>
          <w:sz w:val="21"/>
          <w:highlight w:val="none"/>
        </w:rPr>
        <w:t>(2)运维服务方案分（满分</w:t>
      </w:r>
      <w:r>
        <w:rPr>
          <w:rFonts w:hint="eastAsia" w:hAnsi="宋体" w:cs="宋体"/>
          <w:b/>
          <w:bCs/>
          <w:color w:val="auto"/>
          <w:sz w:val="21"/>
          <w:highlight w:val="none"/>
          <w:lang w:val="en-US" w:eastAsia="zh-CN"/>
        </w:rPr>
        <w:t>30</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lang w:eastAsia="zh-CN"/>
        </w:rPr>
      </w:pPr>
      <w:bookmarkStart w:id="77" w:name="OLE_LINK38"/>
      <w:r>
        <w:rPr>
          <w:rFonts w:hint="eastAsia" w:hAnsi="宋体" w:cs="宋体"/>
          <w:b w:val="0"/>
          <w:bCs w:val="0"/>
          <w:color w:val="auto"/>
          <w:sz w:val="21"/>
          <w:highlight w:val="none"/>
        </w:rPr>
        <w:t>由评标小组成员根据供应商提供的运维服务方案确定各供应商所属档次并打分</w:t>
      </w:r>
      <w:r>
        <w:rPr>
          <w:rFonts w:hint="eastAsia" w:cs="宋体"/>
          <w:b w:val="0"/>
          <w:bCs w:val="0"/>
          <w:color w:val="auto"/>
          <w:sz w:val="21"/>
          <w:highlight w:val="none"/>
          <w:lang w:eastAsia="zh-CN"/>
        </w:rPr>
        <w:t>。</w:t>
      </w:r>
    </w:p>
    <w:bookmarkEnd w:id="77"/>
    <w:p>
      <w:pPr>
        <w:pStyle w:val="23"/>
        <w:spacing w:line="440" w:lineRule="exact"/>
        <w:ind w:firstLine="420"/>
        <w:rPr>
          <w:rFonts w:hint="eastAsia" w:hAnsi="宋体" w:cs="宋体"/>
          <w:b w:val="0"/>
          <w:bCs w:val="0"/>
          <w:color w:val="auto"/>
          <w:sz w:val="21"/>
          <w:highlight w:val="none"/>
        </w:rPr>
      </w:pPr>
      <w:bookmarkStart w:id="78" w:name="OLE_LINK39"/>
      <w:r>
        <w:rPr>
          <w:rFonts w:hint="eastAsia" w:hAnsi="宋体" w:cs="宋体"/>
          <w:b w:val="0"/>
          <w:bCs w:val="0"/>
          <w:color w:val="auto"/>
          <w:sz w:val="21"/>
          <w:highlight w:val="none"/>
        </w:rPr>
        <w:t>一档（0分）：未提供运维服务方案或提供的方案与本项目不相符；</w:t>
      </w:r>
    </w:p>
    <w:bookmarkEnd w:id="78"/>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二档（</w:t>
      </w:r>
      <w:r>
        <w:rPr>
          <w:rFonts w:hint="eastAsia" w:hAnsi="宋体" w:cs="宋体"/>
          <w:b w:val="0"/>
          <w:bCs w:val="0"/>
          <w:color w:val="auto"/>
          <w:sz w:val="21"/>
          <w:highlight w:val="none"/>
          <w:lang w:eastAsia="zh-CN"/>
        </w:rPr>
        <w:t>1</w:t>
      </w:r>
      <w:r>
        <w:rPr>
          <w:rFonts w:hint="eastAsia" w:hAnsi="宋体" w:cs="宋体"/>
          <w:b w:val="0"/>
          <w:bCs w:val="0"/>
          <w:color w:val="auto"/>
          <w:sz w:val="21"/>
          <w:highlight w:val="none"/>
          <w:lang w:val="en-US" w:eastAsia="zh-CN"/>
        </w:rPr>
        <w:t>0</w:t>
      </w:r>
      <w:r>
        <w:rPr>
          <w:rFonts w:hint="eastAsia" w:hAnsi="宋体" w:cs="宋体"/>
          <w:b w:val="0"/>
          <w:bCs w:val="0"/>
          <w:color w:val="auto"/>
          <w:sz w:val="21"/>
          <w:highlight w:val="none"/>
        </w:rPr>
        <w:t>分）：运维服务方案对于开发语言选择、服务器部署、与相关联系统接口数据流设计等系统运维工作内容有合理的叙述，服务内容符合采购需求；</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三档（1</w:t>
      </w:r>
      <w:r>
        <w:rPr>
          <w:rFonts w:hint="eastAsia" w:hAnsi="宋体" w:cs="宋体"/>
          <w:b w:val="0"/>
          <w:bCs w:val="0"/>
          <w:color w:val="auto"/>
          <w:sz w:val="21"/>
          <w:highlight w:val="none"/>
          <w:lang w:eastAsia="zh-CN"/>
        </w:rPr>
        <w:t>5</w:t>
      </w:r>
      <w:r>
        <w:rPr>
          <w:rFonts w:hint="eastAsia" w:hAnsi="宋体" w:cs="宋体"/>
          <w:b w:val="0"/>
          <w:bCs w:val="0"/>
          <w:color w:val="auto"/>
          <w:sz w:val="21"/>
          <w:highlight w:val="none"/>
        </w:rPr>
        <w:t>分）：运维服务方案包含开发语言选择、服务器部署、与相关联系统接口数据流设计系统日常运行维护、系统数据维护、维护措施、质量保证措施、项目实施计划；</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四档（</w:t>
      </w:r>
      <w:r>
        <w:rPr>
          <w:rFonts w:hint="eastAsia" w:hAnsi="宋体" w:cs="宋体"/>
          <w:b w:val="0"/>
          <w:bCs w:val="0"/>
          <w:color w:val="auto"/>
          <w:sz w:val="21"/>
          <w:highlight w:val="none"/>
          <w:lang w:eastAsia="zh-CN"/>
        </w:rPr>
        <w:t>2</w:t>
      </w:r>
      <w:r>
        <w:rPr>
          <w:rFonts w:hint="eastAsia" w:hAnsi="宋体" w:cs="宋体"/>
          <w:b w:val="0"/>
          <w:bCs w:val="0"/>
          <w:color w:val="auto"/>
          <w:sz w:val="21"/>
          <w:highlight w:val="none"/>
          <w:lang w:val="en-US" w:eastAsia="zh-CN"/>
        </w:rPr>
        <w:t>5</w:t>
      </w:r>
      <w:r>
        <w:rPr>
          <w:rFonts w:hint="eastAsia" w:hAnsi="宋体" w:cs="宋体"/>
          <w:b w:val="0"/>
          <w:bCs w:val="0"/>
          <w:color w:val="auto"/>
          <w:sz w:val="21"/>
          <w:highlight w:val="none"/>
        </w:rPr>
        <w:t>分）：运维服务方案有完善的系统日常运行维护、系统数据维护、维护措施、质量保证措施、项目实施计划，维护人员安排一览表、应急措施，有完善的维保工具设备；</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五档（</w:t>
      </w:r>
      <w:r>
        <w:rPr>
          <w:rFonts w:hint="eastAsia" w:hAnsi="宋体" w:cs="宋体"/>
          <w:b w:val="0"/>
          <w:bCs w:val="0"/>
          <w:color w:val="auto"/>
          <w:sz w:val="21"/>
          <w:highlight w:val="none"/>
          <w:lang w:val="en-US" w:eastAsia="zh-CN"/>
        </w:rPr>
        <w:t>30</w:t>
      </w:r>
      <w:r>
        <w:rPr>
          <w:rFonts w:hint="eastAsia" w:hAnsi="宋体" w:cs="宋体"/>
          <w:b w:val="0"/>
          <w:bCs w:val="0"/>
          <w:color w:val="auto"/>
          <w:sz w:val="21"/>
          <w:highlight w:val="none"/>
        </w:rPr>
        <w:t>分）：在满足四档的基础上，针对本项目提供的运维服务方案包含详实的运维服务计划及内容、服务流程及方式，日常维护方案条理清晰，异常数据治理、定位故障等系统问题的措施合理，针对维护期间采购人关于需求改造的要求能提供有相应的承诺及实现功能要求的模块及功能改造方案；具有完善的信息系统运维管理体系，提供解决建议性方案且符合项目特点，对各项关键工作有合理安排。在服务区域常驻有2名技术人员及以上的，提供拟投入人员的在职证明复印件（如社保、劳动合同等）并加盖供应商公章。</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w:t>
      </w:r>
      <w:r>
        <w:rPr>
          <w:rFonts w:hint="eastAsia" w:hAnsi="宋体" w:cs="宋体"/>
          <w:b/>
          <w:bCs/>
          <w:color w:val="auto"/>
          <w:sz w:val="21"/>
          <w:highlight w:val="none"/>
          <w:lang w:val="en-US" w:eastAsia="zh-CN"/>
        </w:rPr>
        <w:t>3</w:t>
      </w:r>
      <w:r>
        <w:rPr>
          <w:rFonts w:hint="eastAsia" w:hAnsi="宋体" w:cs="宋体"/>
          <w:b/>
          <w:bCs/>
          <w:color w:val="auto"/>
          <w:sz w:val="21"/>
          <w:highlight w:val="none"/>
        </w:rPr>
        <w:t>）售后服务（满分</w:t>
      </w:r>
      <w:r>
        <w:rPr>
          <w:rFonts w:hint="eastAsia" w:hAnsi="宋体" w:cs="宋体"/>
          <w:b/>
          <w:bCs/>
          <w:color w:val="auto"/>
          <w:sz w:val="21"/>
          <w:highlight w:val="none"/>
          <w:lang w:val="en-US" w:eastAsia="zh-CN"/>
        </w:rPr>
        <w:t>24</w:t>
      </w:r>
      <w:r>
        <w:rPr>
          <w:rFonts w:hint="eastAsia" w:hAnsi="宋体" w:cs="宋体"/>
          <w:b/>
          <w:bCs/>
          <w:color w:val="auto"/>
          <w:sz w:val="21"/>
          <w:highlight w:val="none"/>
        </w:rPr>
        <w:t>分）</w:t>
      </w:r>
    </w:p>
    <w:p>
      <w:pPr>
        <w:pStyle w:val="215"/>
        <w:spacing w:line="440" w:lineRule="exact"/>
        <w:ind w:firstLine="445"/>
        <w:rPr>
          <w:rFonts w:hint="eastAsia" w:hAnsi="宋体" w:cs="宋体"/>
          <w:b w:val="0"/>
          <w:bCs w:val="0"/>
          <w:color w:val="auto"/>
          <w:sz w:val="21"/>
          <w:highlight w:val="none"/>
        </w:rPr>
      </w:pPr>
      <w:r>
        <w:rPr>
          <w:rFonts w:hint="eastAsia" w:hAnsi="宋体" w:cs="宋体"/>
          <w:b w:val="0"/>
          <w:bCs w:val="0"/>
          <w:color w:val="auto"/>
          <w:sz w:val="21"/>
          <w:highlight w:val="none"/>
        </w:rPr>
        <w:t>由评标小组成员根据供应商提供的</w:t>
      </w:r>
      <w:r>
        <w:rPr>
          <w:rFonts w:hint="eastAsia" w:hAnsi="宋体" w:cs="宋体"/>
          <w:b w:val="0"/>
          <w:bCs w:val="0"/>
          <w:color w:val="auto"/>
          <w:sz w:val="21"/>
          <w:highlight w:val="none"/>
          <w:lang w:eastAsia="zh-CN"/>
        </w:rPr>
        <w:t>售后</w:t>
      </w:r>
      <w:r>
        <w:rPr>
          <w:rFonts w:hint="eastAsia" w:hAnsi="宋体" w:cs="宋体"/>
          <w:b w:val="0"/>
          <w:bCs w:val="0"/>
          <w:color w:val="auto"/>
          <w:sz w:val="21"/>
          <w:highlight w:val="none"/>
        </w:rPr>
        <w:t>方案确定各供应商所属档次并打分。</w:t>
      </w:r>
    </w:p>
    <w:p>
      <w:pPr>
        <w:pStyle w:val="23"/>
        <w:spacing w:line="440" w:lineRule="exact"/>
        <w:ind w:firstLine="420"/>
        <w:rPr>
          <w:rFonts w:hint="eastAsia" w:hAnsi="宋体" w:cs="宋体"/>
          <w:b w:val="0"/>
          <w:bCs w:val="0"/>
          <w:color w:val="auto"/>
          <w:sz w:val="21"/>
          <w:highlight w:val="none"/>
        </w:rPr>
      </w:pPr>
      <w:r>
        <w:rPr>
          <w:rFonts w:hint="eastAsia" w:hAnsi="宋体" w:cs="宋体"/>
          <w:b w:val="0"/>
          <w:bCs w:val="0"/>
          <w:color w:val="auto"/>
          <w:sz w:val="21"/>
          <w:highlight w:val="none"/>
        </w:rPr>
        <w:t>一档（0分）：未提供</w:t>
      </w:r>
      <w:r>
        <w:rPr>
          <w:rFonts w:hint="eastAsia" w:hAnsi="宋体" w:cs="宋体"/>
          <w:b w:val="0"/>
          <w:bCs w:val="0"/>
          <w:color w:val="auto"/>
          <w:sz w:val="21"/>
          <w:highlight w:val="none"/>
          <w:lang w:eastAsia="zh-CN"/>
        </w:rPr>
        <w:t>售后服务</w:t>
      </w:r>
      <w:r>
        <w:rPr>
          <w:rFonts w:hint="eastAsia" w:hAnsi="宋体" w:cs="宋体"/>
          <w:b w:val="0"/>
          <w:bCs w:val="0"/>
          <w:color w:val="auto"/>
          <w:sz w:val="21"/>
          <w:highlight w:val="none"/>
        </w:rPr>
        <w:t>方案或提供的方案与本项目不相符；</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一档（</w:t>
      </w:r>
      <w:r>
        <w:rPr>
          <w:rFonts w:hint="eastAsia" w:hAnsi="宋体" w:cs="宋体"/>
          <w:color w:val="auto"/>
          <w:sz w:val="21"/>
          <w:highlight w:val="none"/>
          <w:lang w:val="en-US" w:eastAsia="zh-CN"/>
        </w:rPr>
        <w:t>8</w:t>
      </w:r>
      <w:r>
        <w:rPr>
          <w:rFonts w:hint="eastAsia" w:hAnsi="宋体" w:cs="宋体"/>
          <w:color w:val="auto"/>
          <w:sz w:val="21"/>
          <w:highlight w:val="none"/>
        </w:rPr>
        <w:t>分）：服务方案包含有项目售后服务维护，但方案较为简单，缺乏针对性。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二档（</w:t>
      </w:r>
      <w:r>
        <w:rPr>
          <w:rFonts w:hint="eastAsia" w:hAnsi="宋体" w:cs="宋体"/>
          <w:color w:val="auto"/>
          <w:sz w:val="21"/>
          <w:highlight w:val="none"/>
          <w:lang w:val="en-US" w:eastAsia="zh-CN"/>
        </w:rPr>
        <w:t>16</w:t>
      </w:r>
      <w:r>
        <w:rPr>
          <w:rFonts w:hint="eastAsia" w:hAnsi="宋体" w:cs="宋体"/>
          <w:color w:val="auto"/>
          <w:sz w:val="21"/>
          <w:highlight w:val="none"/>
        </w:rPr>
        <w:t>分）：方案包含有项目服务维护、保密承诺及廉洁承诺等，且描述了项目维护的方法以及实现方式，方案合理可行，具有针对性。</w:t>
      </w:r>
    </w:p>
    <w:p>
      <w:pPr>
        <w:pStyle w:val="23"/>
        <w:spacing w:line="440" w:lineRule="exact"/>
        <w:ind w:firstLine="420"/>
        <w:rPr>
          <w:rFonts w:hAnsi="宋体" w:cs="宋体"/>
          <w:color w:val="auto"/>
          <w:sz w:val="21"/>
          <w:highlight w:val="none"/>
        </w:rPr>
      </w:pPr>
      <w:r>
        <w:rPr>
          <w:rFonts w:hint="eastAsia" w:hAnsi="宋体" w:cs="宋体"/>
          <w:color w:val="auto"/>
          <w:sz w:val="21"/>
          <w:highlight w:val="none"/>
        </w:rPr>
        <w:t>三档（</w:t>
      </w:r>
      <w:r>
        <w:rPr>
          <w:rFonts w:hint="eastAsia" w:hAnsi="宋体" w:cs="宋体"/>
          <w:color w:val="auto"/>
          <w:sz w:val="21"/>
          <w:highlight w:val="none"/>
          <w:lang w:val="en-US" w:eastAsia="zh-CN"/>
        </w:rPr>
        <w:t>24</w:t>
      </w:r>
      <w:r>
        <w:rPr>
          <w:rFonts w:hint="eastAsia" w:hAnsi="宋体" w:cs="宋体"/>
          <w:color w:val="auto"/>
          <w:sz w:val="21"/>
          <w:highlight w:val="none"/>
        </w:rPr>
        <w:t>分）：方案包含有合理可行并且具有针对性的项目售后维护、保密承诺及廉洁承诺等，且描述了项目售后维护的方法以及实现方式，售后服务机构及联系人、技术人员名单等资料详细，服务承诺和保障措施考虑周全完整。</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3、商务分………………………………………………………………………………</w:t>
      </w:r>
      <w:r>
        <w:rPr>
          <w:rFonts w:hint="eastAsia" w:hAnsi="宋体" w:cs="宋体"/>
          <w:b/>
          <w:bCs/>
          <w:color w:val="auto"/>
          <w:sz w:val="21"/>
          <w:highlight w:val="none"/>
          <w:lang w:val="en-US" w:eastAsia="zh-CN"/>
        </w:rPr>
        <w:t>6</w:t>
      </w:r>
      <w:r>
        <w:rPr>
          <w:rFonts w:hint="eastAsia" w:hAnsi="宋体" w:cs="宋体"/>
          <w:b/>
          <w:bCs/>
          <w:color w:val="auto"/>
          <w:sz w:val="21"/>
          <w:highlight w:val="none"/>
        </w:rPr>
        <w:t>分</w:t>
      </w:r>
    </w:p>
    <w:p>
      <w:pPr>
        <w:pStyle w:val="23"/>
        <w:spacing w:line="440" w:lineRule="exact"/>
        <w:ind w:firstLine="420"/>
        <w:rPr>
          <w:rFonts w:hint="eastAsia" w:hAnsi="宋体" w:cs="宋体"/>
          <w:color w:val="auto"/>
          <w:sz w:val="21"/>
          <w:highlight w:val="none"/>
        </w:rPr>
      </w:pPr>
      <w:r>
        <w:rPr>
          <w:rFonts w:hint="eastAsia" w:hAnsi="宋体" w:cs="宋体"/>
          <w:color w:val="auto"/>
          <w:sz w:val="21"/>
          <w:highlight w:val="none"/>
        </w:rPr>
        <w:t>供应商自</w:t>
      </w:r>
      <w:r>
        <w:rPr>
          <w:rFonts w:hint="eastAsia" w:hAnsi="宋体" w:cs="宋体"/>
          <w:color w:val="auto"/>
          <w:sz w:val="21"/>
          <w:highlight w:val="none"/>
          <w:lang w:val="en-US" w:eastAsia="zh-CN"/>
        </w:rPr>
        <w:t>2022年1月1日</w:t>
      </w:r>
      <w:r>
        <w:rPr>
          <w:rFonts w:hint="eastAsia" w:hAnsi="宋体" w:cs="宋体"/>
          <w:color w:val="auto"/>
          <w:sz w:val="21"/>
          <w:highlight w:val="none"/>
        </w:rPr>
        <w:t>以来具有同类业绩材料，每有一项得</w:t>
      </w:r>
      <w:r>
        <w:rPr>
          <w:rFonts w:hint="eastAsia" w:hAnsi="宋体" w:cs="宋体"/>
          <w:color w:val="auto"/>
          <w:sz w:val="21"/>
          <w:highlight w:val="none"/>
          <w:lang w:val="en-US" w:eastAsia="zh-CN"/>
        </w:rPr>
        <w:t>3</w:t>
      </w:r>
      <w:r>
        <w:rPr>
          <w:rFonts w:hint="eastAsia" w:hAnsi="宋体" w:cs="宋体"/>
          <w:color w:val="auto"/>
          <w:sz w:val="21"/>
          <w:highlight w:val="none"/>
        </w:rPr>
        <w:t>分，满分</w:t>
      </w:r>
      <w:r>
        <w:rPr>
          <w:rFonts w:hint="eastAsia" w:hAnsi="宋体" w:cs="宋体"/>
          <w:color w:val="auto"/>
          <w:sz w:val="21"/>
          <w:highlight w:val="none"/>
          <w:lang w:val="en-US" w:eastAsia="zh-CN"/>
        </w:rPr>
        <w:t>6</w:t>
      </w:r>
      <w:r>
        <w:rPr>
          <w:rFonts w:hint="eastAsia" w:hAnsi="宋体" w:cs="宋体"/>
          <w:color w:val="auto"/>
          <w:sz w:val="21"/>
          <w:highlight w:val="none"/>
        </w:rPr>
        <w:t>分。（以开具发票或者中标（成交）通知书或合同复印件为准，并加盖供应商公章。）</w:t>
      </w:r>
    </w:p>
    <w:bookmarkEnd w:id="76"/>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总得分=1+2+3</w:t>
      </w:r>
    </w:p>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说明：上述评分标准中提及的证书、证件、证明、业绩材料等须提供有效的证书或证明材料扫描件或其他电子文件，并须加盖供应商CA电子签章，否则不予计分。</w:t>
      </w:r>
    </w:p>
    <w:p>
      <w:pPr>
        <w:pStyle w:val="23"/>
        <w:spacing w:line="440" w:lineRule="exact"/>
        <w:ind w:firstLine="420"/>
        <w:rPr>
          <w:rFonts w:hAnsi="宋体" w:cs="宋体"/>
          <w:b/>
          <w:bCs/>
          <w:color w:val="auto"/>
          <w:sz w:val="21"/>
          <w:highlight w:val="none"/>
        </w:rPr>
      </w:pPr>
    </w:p>
    <w:bookmarkEnd w:id="73"/>
    <w:p>
      <w:pPr>
        <w:pStyle w:val="23"/>
        <w:spacing w:line="440" w:lineRule="exact"/>
        <w:ind w:firstLine="420"/>
        <w:rPr>
          <w:rFonts w:hAnsi="宋体" w:cs="宋体"/>
          <w:b/>
          <w:bCs/>
          <w:color w:val="auto"/>
          <w:sz w:val="21"/>
          <w:highlight w:val="none"/>
        </w:rPr>
      </w:pPr>
      <w:r>
        <w:rPr>
          <w:rFonts w:hint="eastAsia" w:hAnsi="宋体" w:cs="宋体"/>
          <w:b/>
          <w:bCs/>
          <w:color w:val="auto"/>
          <w:sz w:val="21"/>
          <w:highlight w:val="none"/>
        </w:rPr>
        <w:t>三、推荐及确定成交候选供应商原则</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由磋商小组根据综合评分情况，按照评审得分由高到低顺序推荐3名以上中标（成交）候选供应商，并编写评审报告。评审得分相同的，按照最后报价（不计算价格折扣）由低到高的顺序推荐。评审得分且最后报价（不计算价格折扣）相同的，按照技术指标优劣顺序推荐（按综合评分中服务水平、售后服务、履约能力、政策功能得分高低依次确定）。评审得分、最后报价（不计算价格折扣）、技术得分均相同的，由磋商小组随机抽取推荐。</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本项目确定一名成交供应商。采购单位应当确定磋商小组推荐排名第一的成交候选供应商为成交供应商。</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排名第一的中标（成交）候选人放弃中标、因不可抗力提出不能履行合同，或者招标文件规定应当提交履约保证金而在规定的期限内未能提交的，或因失信行为被取消中标候选人资格的，采购人可以确定排名第二的中标（成交）候选人为中标人，并依此类推。</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本标项允许兼投兼中。供应商可以同时参与多个标项的竞标，并且可以同时中标多个标项</w:t>
      </w:r>
    </w:p>
    <w:p>
      <w:pPr>
        <w:spacing w:line="44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四、特别说明</w:t>
      </w:r>
    </w:p>
    <w:p>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评审时，磋商小组认为供应商的报价明显低于其他通过符合性审查供应商的报价，有可能影响产品质量或者不能诚信履约的，可要求其在评标现场合理的时间内按以下成本构成科目以书面方式提供计算数据及计算方法作为报价合理性的证明资料：包括所需材料、管理费用、人员成本构成、税收等所有成本和利润。供应商也可直接在响应文件中提供上述资料以避免因无法及时提供说明而导致可能被磋商小组作为无效响应处理。如果供应商不能合理说明或者提供的有关证明材料不完整，不能证明其报价合理性的，磋商小组应当将其作为无效投标处理。供应商书面说明应当签字确认或者加盖公章，否则无效。</w:t>
      </w:r>
      <w:bookmarkEnd w:id="74"/>
      <w:bookmarkEnd w:id="75"/>
    </w:p>
    <w:sectPr>
      <w:headerReference r:id="rId11" w:type="default"/>
      <w:footerReference r:id="rId12" w:type="default"/>
      <w:pgSz w:w="11906" w:h="16838"/>
      <w:pgMar w:top="1134" w:right="1247" w:bottom="1134" w:left="1247" w:header="851" w:footer="131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大黑简体2.">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w:t>
    </w:r>
    <w:r>
      <w:fldChar w:fldCharType="end"/>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t>17</w:t>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A160D"/>
    <w:multiLevelType w:val="singleLevel"/>
    <w:tmpl w:val="5ABA160D"/>
    <w:lvl w:ilvl="0" w:tentative="0">
      <w:start w:val="7"/>
      <w:numFmt w:val="chineseCounting"/>
      <w:suff w:val="nothing"/>
      <w:lvlText w:val="%1、"/>
      <w:lvlJc w:val="left"/>
      <w:rPr>
        <w:rFonts w:hint="eastAsia"/>
      </w:rPr>
    </w:lvl>
  </w:abstractNum>
  <w:abstractNum w:abstractNumId="1">
    <w:nsid w:val="785048E6"/>
    <w:multiLevelType w:val="singleLevel"/>
    <w:tmpl w:val="785048E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wOGViMDY1ZmIyNjE1ZGVhNDVhOWMyNmE3MjU4MmEifQ=="/>
    <w:docVar w:name="KSO_WPS_MARK_KEY" w:val="2a0489cf-a869-4ecf-81ec-ac97af0ac8d4"/>
  </w:docVars>
  <w:rsids>
    <w:rsidRoot w:val="00172A27"/>
    <w:rsid w:val="0000090E"/>
    <w:rsid w:val="000015DB"/>
    <w:rsid w:val="000067C1"/>
    <w:rsid w:val="0000695D"/>
    <w:rsid w:val="00013DC2"/>
    <w:rsid w:val="0001413E"/>
    <w:rsid w:val="0002592F"/>
    <w:rsid w:val="0002786B"/>
    <w:rsid w:val="00035557"/>
    <w:rsid w:val="0004133D"/>
    <w:rsid w:val="00041B3F"/>
    <w:rsid w:val="00043E0A"/>
    <w:rsid w:val="000514EF"/>
    <w:rsid w:val="000560B8"/>
    <w:rsid w:val="00065310"/>
    <w:rsid w:val="00077CC5"/>
    <w:rsid w:val="000815B2"/>
    <w:rsid w:val="00086172"/>
    <w:rsid w:val="00093515"/>
    <w:rsid w:val="000A7C55"/>
    <w:rsid w:val="000C2708"/>
    <w:rsid w:val="000D0985"/>
    <w:rsid w:val="000D2138"/>
    <w:rsid w:val="000D4081"/>
    <w:rsid w:val="000E3C92"/>
    <w:rsid w:val="000E56CB"/>
    <w:rsid w:val="000E78EB"/>
    <w:rsid w:val="000E7901"/>
    <w:rsid w:val="000F0388"/>
    <w:rsid w:val="000F46D6"/>
    <w:rsid w:val="000F6D52"/>
    <w:rsid w:val="00102F6B"/>
    <w:rsid w:val="0010453E"/>
    <w:rsid w:val="0011098A"/>
    <w:rsid w:val="00111AF2"/>
    <w:rsid w:val="00114092"/>
    <w:rsid w:val="00114D6A"/>
    <w:rsid w:val="00115FEF"/>
    <w:rsid w:val="001318DA"/>
    <w:rsid w:val="001324F1"/>
    <w:rsid w:val="001335D8"/>
    <w:rsid w:val="0014576F"/>
    <w:rsid w:val="00152934"/>
    <w:rsid w:val="00172A27"/>
    <w:rsid w:val="001771ED"/>
    <w:rsid w:val="00184CD3"/>
    <w:rsid w:val="00187384"/>
    <w:rsid w:val="00192CF5"/>
    <w:rsid w:val="00197A96"/>
    <w:rsid w:val="001A22E8"/>
    <w:rsid w:val="001A25E3"/>
    <w:rsid w:val="001A681E"/>
    <w:rsid w:val="001B2B72"/>
    <w:rsid w:val="001B2F7C"/>
    <w:rsid w:val="001B7405"/>
    <w:rsid w:val="001C1F14"/>
    <w:rsid w:val="001C7C61"/>
    <w:rsid w:val="001D5246"/>
    <w:rsid w:val="001E73BE"/>
    <w:rsid w:val="00200139"/>
    <w:rsid w:val="002144F0"/>
    <w:rsid w:val="0023030D"/>
    <w:rsid w:val="00236F5B"/>
    <w:rsid w:val="0024402E"/>
    <w:rsid w:val="00250C35"/>
    <w:rsid w:val="0025799C"/>
    <w:rsid w:val="002664CA"/>
    <w:rsid w:val="00266C78"/>
    <w:rsid w:val="002828EE"/>
    <w:rsid w:val="00282EE6"/>
    <w:rsid w:val="00284181"/>
    <w:rsid w:val="00286316"/>
    <w:rsid w:val="00290ABF"/>
    <w:rsid w:val="002A0B70"/>
    <w:rsid w:val="002C1E03"/>
    <w:rsid w:val="002D4643"/>
    <w:rsid w:val="002E0745"/>
    <w:rsid w:val="002E2998"/>
    <w:rsid w:val="002F035C"/>
    <w:rsid w:val="002F1CE1"/>
    <w:rsid w:val="002F4EB4"/>
    <w:rsid w:val="002F524C"/>
    <w:rsid w:val="002F5959"/>
    <w:rsid w:val="002F7395"/>
    <w:rsid w:val="0032415A"/>
    <w:rsid w:val="00330926"/>
    <w:rsid w:val="00330E48"/>
    <w:rsid w:val="0033133C"/>
    <w:rsid w:val="00350B58"/>
    <w:rsid w:val="00354790"/>
    <w:rsid w:val="00363580"/>
    <w:rsid w:val="00374A13"/>
    <w:rsid w:val="003759F0"/>
    <w:rsid w:val="00376E31"/>
    <w:rsid w:val="003927CF"/>
    <w:rsid w:val="00393BED"/>
    <w:rsid w:val="003A67E8"/>
    <w:rsid w:val="003A78D2"/>
    <w:rsid w:val="003B74DD"/>
    <w:rsid w:val="003B7FF9"/>
    <w:rsid w:val="003C7AD6"/>
    <w:rsid w:val="003D69B4"/>
    <w:rsid w:val="003E2F67"/>
    <w:rsid w:val="003E346C"/>
    <w:rsid w:val="003E4FF9"/>
    <w:rsid w:val="003F36B5"/>
    <w:rsid w:val="003F4BD2"/>
    <w:rsid w:val="003F6B4E"/>
    <w:rsid w:val="004048A3"/>
    <w:rsid w:val="004073EC"/>
    <w:rsid w:val="004138F0"/>
    <w:rsid w:val="00417A17"/>
    <w:rsid w:val="00421B89"/>
    <w:rsid w:val="00436F11"/>
    <w:rsid w:val="00442B23"/>
    <w:rsid w:val="004438BE"/>
    <w:rsid w:val="00444E68"/>
    <w:rsid w:val="0044516E"/>
    <w:rsid w:val="0044614E"/>
    <w:rsid w:val="00450AE8"/>
    <w:rsid w:val="00453CAA"/>
    <w:rsid w:val="00454723"/>
    <w:rsid w:val="00457286"/>
    <w:rsid w:val="00457799"/>
    <w:rsid w:val="004646A8"/>
    <w:rsid w:val="0046526E"/>
    <w:rsid w:val="0047262E"/>
    <w:rsid w:val="00474C4D"/>
    <w:rsid w:val="00484142"/>
    <w:rsid w:val="00485BEB"/>
    <w:rsid w:val="004A1D3E"/>
    <w:rsid w:val="004A2EE5"/>
    <w:rsid w:val="004B4985"/>
    <w:rsid w:val="004B551A"/>
    <w:rsid w:val="004C3110"/>
    <w:rsid w:val="004C5291"/>
    <w:rsid w:val="004D71CD"/>
    <w:rsid w:val="004E50FE"/>
    <w:rsid w:val="004F7773"/>
    <w:rsid w:val="00500D36"/>
    <w:rsid w:val="00505534"/>
    <w:rsid w:val="00507882"/>
    <w:rsid w:val="00523F15"/>
    <w:rsid w:val="0052488F"/>
    <w:rsid w:val="00525AA5"/>
    <w:rsid w:val="00527462"/>
    <w:rsid w:val="005275EC"/>
    <w:rsid w:val="00533464"/>
    <w:rsid w:val="0054045B"/>
    <w:rsid w:val="0054736B"/>
    <w:rsid w:val="00551237"/>
    <w:rsid w:val="00556601"/>
    <w:rsid w:val="00557C30"/>
    <w:rsid w:val="00562ABC"/>
    <w:rsid w:val="00565011"/>
    <w:rsid w:val="005674DD"/>
    <w:rsid w:val="00572E67"/>
    <w:rsid w:val="005752A1"/>
    <w:rsid w:val="005808D1"/>
    <w:rsid w:val="00584495"/>
    <w:rsid w:val="005933B0"/>
    <w:rsid w:val="005B36C7"/>
    <w:rsid w:val="005B3CA7"/>
    <w:rsid w:val="005D1E87"/>
    <w:rsid w:val="005D26AC"/>
    <w:rsid w:val="005E0AC0"/>
    <w:rsid w:val="005E0F69"/>
    <w:rsid w:val="005E266D"/>
    <w:rsid w:val="005E4943"/>
    <w:rsid w:val="005E4FA7"/>
    <w:rsid w:val="005F0475"/>
    <w:rsid w:val="005F15A4"/>
    <w:rsid w:val="005F471E"/>
    <w:rsid w:val="0060128B"/>
    <w:rsid w:val="006064E1"/>
    <w:rsid w:val="00607698"/>
    <w:rsid w:val="006116A3"/>
    <w:rsid w:val="00613BEF"/>
    <w:rsid w:val="0061464B"/>
    <w:rsid w:val="00616EE6"/>
    <w:rsid w:val="00621BB0"/>
    <w:rsid w:val="00624849"/>
    <w:rsid w:val="00625B22"/>
    <w:rsid w:val="006304A8"/>
    <w:rsid w:val="006437A1"/>
    <w:rsid w:val="006446AB"/>
    <w:rsid w:val="0064641B"/>
    <w:rsid w:val="006468D9"/>
    <w:rsid w:val="0065527C"/>
    <w:rsid w:val="00661805"/>
    <w:rsid w:val="00667BAC"/>
    <w:rsid w:val="00671F7C"/>
    <w:rsid w:val="00676E82"/>
    <w:rsid w:val="00687FBE"/>
    <w:rsid w:val="00695BF2"/>
    <w:rsid w:val="006A33F2"/>
    <w:rsid w:val="006B6976"/>
    <w:rsid w:val="006B6D24"/>
    <w:rsid w:val="006B7E19"/>
    <w:rsid w:val="006C4F1C"/>
    <w:rsid w:val="006D004D"/>
    <w:rsid w:val="006D0BE3"/>
    <w:rsid w:val="006D2E71"/>
    <w:rsid w:val="006D586C"/>
    <w:rsid w:val="006E2180"/>
    <w:rsid w:val="006E4B63"/>
    <w:rsid w:val="006F70C4"/>
    <w:rsid w:val="00711C91"/>
    <w:rsid w:val="007131B1"/>
    <w:rsid w:val="00726B55"/>
    <w:rsid w:val="00730782"/>
    <w:rsid w:val="00733E84"/>
    <w:rsid w:val="00737F70"/>
    <w:rsid w:val="007609A0"/>
    <w:rsid w:val="00762CD4"/>
    <w:rsid w:val="00775DA7"/>
    <w:rsid w:val="00781360"/>
    <w:rsid w:val="00787233"/>
    <w:rsid w:val="0079150F"/>
    <w:rsid w:val="00793A6F"/>
    <w:rsid w:val="007951FD"/>
    <w:rsid w:val="007C5EC3"/>
    <w:rsid w:val="007D2FF9"/>
    <w:rsid w:val="007D5341"/>
    <w:rsid w:val="007E13F9"/>
    <w:rsid w:val="007E4478"/>
    <w:rsid w:val="007E5553"/>
    <w:rsid w:val="007F26D3"/>
    <w:rsid w:val="007F7145"/>
    <w:rsid w:val="00800876"/>
    <w:rsid w:val="0080268F"/>
    <w:rsid w:val="0081321E"/>
    <w:rsid w:val="00814689"/>
    <w:rsid w:val="0081540E"/>
    <w:rsid w:val="008219B8"/>
    <w:rsid w:val="008277DD"/>
    <w:rsid w:val="00840C78"/>
    <w:rsid w:val="00854713"/>
    <w:rsid w:val="008552AA"/>
    <w:rsid w:val="008642A9"/>
    <w:rsid w:val="00875B64"/>
    <w:rsid w:val="00881E06"/>
    <w:rsid w:val="00882368"/>
    <w:rsid w:val="00885A16"/>
    <w:rsid w:val="0089591B"/>
    <w:rsid w:val="00897C42"/>
    <w:rsid w:val="008A28E9"/>
    <w:rsid w:val="008A4B60"/>
    <w:rsid w:val="008A4D79"/>
    <w:rsid w:val="008A5290"/>
    <w:rsid w:val="008A60A6"/>
    <w:rsid w:val="008A6376"/>
    <w:rsid w:val="008B4ED6"/>
    <w:rsid w:val="008C0AB7"/>
    <w:rsid w:val="008E316B"/>
    <w:rsid w:val="008F4B8C"/>
    <w:rsid w:val="009013C7"/>
    <w:rsid w:val="00901D92"/>
    <w:rsid w:val="00902842"/>
    <w:rsid w:val="00905441"/>
    <w:rsid w:val="00910264"/>
    <w:rsid w:val="00911E65"/>
    <w:rsid w:val="009135BA"/>
    <w:rsid w:val="00914911"/>
    <w:rsid w:val="009164ED"/>
    <w:rsid w:val="00916C6C"/>
    <w:rsid w:val="00925759"/>
    <w:rsid w:val="00933875"/>
    <w:rsid w:val="00941666"/>
    <w:rsid w:val="009502DD"/>
    <w:rsid w:val="009504C8"/>
    <w:rsid w:val="0095325C"/>
    <w:rsid w:val="00971F78"/>
    <w:rsid w:val="0097344E"/>
    <w:rsid w:val="00975445"/>
    <w:rsid w:val="00986FE4"/>
    <w:rsid w:val="00994085"/>
    <w:rsid w:val="009B011B"/>
    <w:rsid w:val="009B6C14"/>
    <w:rsid w:val="009B7507"/>
    <w:rsid w:val="009C5193"/>
    <w:rsid w:val="009D21C1"/>
    <w:rsid w:val="009D59BC"/>
    <w:rsid w:val="009F0AE7"/>
    <w:rsid w:val="00A01634"/>
    <w:rsid w:val="00A04DA8"/>
    <w:rsid w:val="00A115EA"/>
    <w:rsid w:val="00A152E9"/>
    <w:rsid w:val="00A42421"/>
    <w:rsid w:val="00A51634"/>
    <w:rsid w:val="00A60374"/>
    <w:rsid w:val="00A60859"/>
    <w:rsid w:val="00A623A9"/>
    <w:rsid w:val="00A722ED"/>
    <w:rsid w:val="00A85EA8"/>
    <w:rsid w:val="00AA16DB"/>
    <w:rsid w:val="00AB3DB4"/>
    <w:rsid w:val="00AB68A1"/>
    <w:rsid w:val="00AB71E4"/>
    <w:rsid w:val="00AC22EA"/>
    <w:rsid w:val="00AC29D5"/>
    <w:rsid w:val="00AC2DBC"/>
    <w:rsid w:val="00AC73B2"/>
    <w:rsid w:val="00AD0C44"/>
    <w:rsid w:val="00AD2950"/>
    <w:rsid w:val="00AD511A"/>
    <w:rsid w:val="00AD63D3"/>
    <w:rsid w:val="00AE04FE"/>
    <w:rsid w:val="00AE3544"/>
    <w:rsid w:val="00AE7A13"/>
    <w:rsid w:val="00AF4EE7"/>
    <w:rsid w:val="00B02BD7"/>
    <w:rsid w:val="00B05C39"/>
    <w:rsid w:val="00B21E79"/>
    <w:rsid w:val="00B3085B"/>
    <w:rsid w:val="00B32F6D"/>
    <w:rsid w:val="00B33824"/>
    <w:rsid w:val="00B35A99"/>
    <w:rsid w:val="00B361A5"/>
    <w:rsid w:val="00B404D3"/>
    <w:rsid w:val="00B408AC"/>
    <w:rsid w:val="00B453E2"/>
    <w:rsid w:val="00B453F5"/>
    <w:rsid w:val="00B539BF"/>
    <w:rsid w:val="00B57027"/>
    <w:rsid w:val="00B6498C"/>
    <w:rsid w:val="00B64E1F"/>
    <w:rsid w:val="00B8384E"/>
    <w:rsid w:val="00B92702"/>
    <w:rsid w:val="00B93C7F"/>
    <w:rsid w:val="00BB6C2F"/>
    <w:rsid w:val="00BC2783"/>
    <w:rsid w:val="00BC380A"/>
    <w:rsid w:val="00BC3CB6"/>
    <w:rsid w:val="00BD1B07"/>
    <w:rsid w:val="00BD30B2"/>
    <w:rsid w:val="00BD554E"/>
    <w:rsid w:val="00BE056A"/>
    <w:rsid w:val="00BE2082"/>
    <w:rsid w:val="00BE20A1"/>
    <w:rsid w:val="00BE2888"/>
    <w:rsid w:val="00BE4F8C"/>
    <w:rsid w:val="00BF19B4"/>
    <w:rsid w:val="00BF70AB"/>
    <w:rsid w:val="00C054BC"/>
    <w:rsid w:val="00C12C5F"/>
    <w:rsid w:val="00C16A3F"/>
    <w:rsid w:val="00C35EE6"/>
    <w:rsid w:val="00C4123B"/>
    <w:rsid w:val="00C43679"/>
    <w:rsid w:val="00C450BD"/>
    <w:rsid w:val="00C51002"/>
    <w:rsid w:val="00C7124E"/>
    <w:rsid w:val="00C763AD"/>
    <w:rsid w:val="00C77867"/>
    <w:rsid w:val="00C87EED"/>
    <w:rsid w:val="00CB0360"/>
    <w:rsid w:val="00CB6C17"/>
    <w:rsid w:val="00CC7D75"/>
    <w:rsid w:val="00CF33E7"/>
    <w:rsid w:val="00D027AD"/>
    <w:rsid w:val="00D065A5"/>
    <w:rsid w:val="00D159A1"/>
    <w:rsid w:val="00D21270"/>
    <w:rsid w:val="00D21D8D"/>
    <w:rsid w:val="00D27C5C"/>
    <w:rsid w:val="00D30121"/>
    <w:rsid w:val="00D3567D"/>
    <w:rsid w:val="00D44AA3"/>
    <w:rsid w:val="00D56B12"/>
    <w:rsid w:val="00D6485C"/>
    <w:rsid w:val="00D67980"/>
    <w:rsid w:val="00D71C53"/>
    <w:rsid w:val="00D7692A"/>
    <w:rsid w:val="00D76D24"/>
    <w:rsid w:val="00D834FE"/>
    <w:rsid w:val="00D91F49"/>
    <w:rsid w:val="00DB5446"/>
    <w:rsid w:val="00DB6EAC"/>
    <w:rsid w:val="00DC055C"/>
    <w:rsid w:val="00DD09D7"/>
    <w:rsid w:val="00DE11B4"/>
    <w:rsid w:val="00DF0657"/>
    <w:rsid w:val="00DF3C49"/>
    <w:rsid w:val="00E0017A"/>
    <w:rsid w:val="00E00FCE"/>
    <w:rsid w:val="00E05C90"/>
    <w:rsid w:val="00E063CA"/>
    <w:rsid w:val="00E06EE6"/>
    <w:rsid w:val="00E205E7"/>
    <w:rsid w:val="00E238EE"/>
    <w:rsid w:val="00E34119"/>
    <w:rsid w:val="00E37FC3"/>
    <w:rsid w:val="00E41624"/>
    <w:rsid w:val="00E522FB"/>
    <w:rsid w:val="00E60EC9"/>
    <w:rsid w:val="00E63676"/>
    <w:rsid w:val="00E81204"/>
    <w:rsid w:val="00E9713C"/>
    <w:rsid w:val="00EA02C2"/>
    <w:rsid w:val="00EA5F28"/>
    <w:rsid w:val="00EB063D"/>
    <w:rsid w:val="00EC6161"/>
    <w:rsid w:val="00ED0A74"/>
    <w:rsid w:val="00ED1677"/>
    <w:rsid w:val="00ED20C3"/>
    <w:rsid w:val="00ED4402"/>
    <w:rsid w:val="00ED48AC"/>
    <w:rsid w:val="00EE1851"/>
    <w:rsid w:val="00EF6786"/>
    <w:rsid w:val="00F021D7"/>
    <w:rsid w:val="00F06689"/>
    <w:rsid w:val="00F10BA5"/>
    <w:rsid w:val="00F1201C"/>
    <w:rsid w:val="00F13D95"/>
    <w:rsid w:val="00F219EB"/>
    <w:rsid w:val="00F272D0"/>
    <w:rsid w:val="00F3159C"/>
    <w:rsid w:val="00F37635"/>
    <w:rsid w:val="00F37E03"/>
    <w:rsid w:val="00F463CE"/>
    <w:rsid w:val="00F47689"/>
    <w:rsid w:val="00F61E8C"/>
    <w:rsid w:val="00F65341"/>
    <w:rsid w:val="00F7046E"/>
    <w:rsid w:val="00F715B4"/>
    <w:rsid w:val="00F725BF"/>
    <w:rsid w:val="00F860E2"/>
    <w:rsid w:val="00F86A97"/>
    <w:rsid w:val="00F91299"/>
    <w:rsid w:val="00F96E38"/>
    <w:rsid w:val="00FA1224"/>
    <w:rsid w:val="00FA159A"/>
    <w:rsid w:val="00FA364F"/>
    <w:rsid w:val="00FB4608"/>
    <w:rsid w:val="00FB70EF"/>
    <w:rsid w:val="00FC49FB"/>
    <w:rsid w:val="00FD552A"/>
    <w:rsid w:val="00FD6C46"/>
    <w:rsid w:val="00FD6D32"/>
    <w:rsid w:val="00FE600C"/>
    <w:rsid w:val="00FF4075"/>
    <w:rsid w:val="00FF52C7"/>
    <w:rsid w:val="017F1002"/>
    <w:rsid w:val="018039CD"/>
    <w:rsid w:val="01A3661E"/>
    <w:rsid w:val="02352FCB"/>
    <w:rsid w:val="024A011D"/>
    <w:rsid w:val="03005BDD"/>
    <w:rsid w:val="031670D6"/>
    <w:rsid w:val="03473B72"/>
    <w:rsid w:val="03FC10E3"/>
    <w:rsid w:val="04226DE4"/>
    <w:rsid w:val="042D3406"/>
    <w:rsid w:val="0446464E"/>
    <w:rsid w:val="04CE2C04"/>
    <w:rsid w:val="052B2F21"/>
    <w:rsid w:val="05313213"/>
    <w:rsid w:val="06086033"/>
    <w:rsid w:val="06B312BD"/>
    <w:rsid w:val="06F537E7"/>
    <w:rsid w:val="073A6A62"/>
    <w:rsid w:val="074167A2"/>
    <w:rsid w:val="075210C8"/>
    <w:rsid w:val="075F1744"/>
    <w:rsid w:val="0778645F"/>
    <w:rsid w:val="07CF4447"/>
    <w:rsid w:val="07EF15E7"/>
    <w:rsid w:val="081E6C34"/>
    <w:rsid w:val="08A45612"/>
    <w:rsid w:val="08C01E1B"/>
    <w:rsid w:val="09433009"/>
    <w:rsid w:val="094A733A"/>
    <w:rsid w:val="0AF11100"/>
    <w:rsid w:val="0AF4333B"/>
    <w:rsid w:val="0B7D6C68"/>
    <w:rsid w:val="0B951AB4"/>
    <w:rsid w:val="0BAB6169"/>
    <w:rsid w:val="0BB37D2F"/>
    <w:rsid w:val="0BD30502"/>
    <w:rsid w:val="0C0718FB"/>
    <w:rsid w:val="0C677253"/>
    <w:rsid w:val="0CAB6B8B"/>
    <w:rsid w:val="0E177B42"/>
    <w:rsid w:val="0E8C7D6A"/>
    <w:rsid w:val="0F1A4356"/>
    <w:rsid w:val="0F56037E"/>
    <w:rsid w:val="109C081A"/>
    <w:rsid w:val="10EB7F83"/>
    <w:rsid w:val="111A64A0"/>
    <w:rsid w:val="113423A2"/>
    <w:rsid w:val="114104C2"/>
    <w:rsid w:val="12492FB5"/>
    <w:rsid w:val="126855F2"/>
    <w:rsid w:val="129A7E11"/>
    <w:rsid w:val="12B94AA0"/>
    <w:rsid w:val="12CA6D88"/>
    <w:rsid w:val="12D4198A"/>
    <w:rsid w:val="12EA7371"/>
    <w:rsid w:val="134013C4"/>
    <w:rsid w:val="13551A69"/>
    <w:rsid w:val="13761F34"/>
    <w:rsid w:val="14481E06"/>
    <w:rsid w:val="15567406"/>
    <w:rsid w:val="158C0F75"/>
    <w:rsid w:val="15BE0D9D"/>
    <w:rsid w:val="15D117D4"/>
    <w:rsid w:val="1621637D"/>
    <w:rsid w:val="168077AB"/>
    <w:rsid w:val="16B21D45"/>
    <w:rsid w:val="16CD5440"/>
    <w:rsid w:val="16D21E3A"/>
    <w:rsid w:val="16F078A5"/>
    <w:rsid w:val="16F26BDC"/>
    <w:rsid w:val="1708097D"/>
    <w:rsid w:val="1732421A"/>
    <w:rsid w:val="17653C9A"/>
    <w:rsid w:val="17C26C63"/>
    <w:rsid w:val="180A18BE"/>
    <w:rsid w:val="180B37EA"/>
    <w:rsid w:val="18754534"/>
    <w:rsid w:val="188D4D39"/>
    <w:rsid w:val="18C01D90"/>
    <w:rsid w:val="18DD66FE"/>
    <w:rsid w:val="19277932"/>
    <w:rsid w:val="196B6A36"/>
    <w:rsid w:val="197F500A"/>
    <w:rsid w:val="19F442E3"/>
    <w:rsid w:val="1A101FC5"/>
    <w:rsid w:val="1A5775E2"/>
    <w:rsid w:val="1A9F5573"/>
    <w:rsid w:val="1AD5246F"/>
    <w:rsid w:val="1BA16F6F"/>
    <w:rsid w:val="1C1F4E67"/>
    <w:rsid w:val="1C41290C"/>
    <w:rsid w:val="1CAC2540"/>
    <w:rsid w:val="1CAD565A"/>
    <w:rsid w:val="1D1C1676"/>
    <w:rsid w:val="1D6E3BAA"/>
    <w:rsid w:val="1D8B2357"/>
    <w:rsid w:val="1DD64580"/>
    <w:rsid w:val="1E5E59F5"/>
    <w:rsid w:val="1E6C1A8F"/>
    <w:rsid w:val="1E7F5C4E"/>
    <w:rsid w:val="1E8F40C9"/>
    <w:rsid w:val="1ED80129"/>
    <w:rsid w:val="1F853661"/>
    <w:rsid w:val="1FA036A7"/>
    <w:rsid w:val="1FA71630"/>
    <w:rsid w:val="1FAB284F"/>
    <w:rsid w:val="208731A6"/>
    <w:rsid w:val="2094600D"/>
    <w:rsid w:val="20BC2CB0"/>
    <w:rsid w:val="20EC75B1"/>
    <w:rsid w:val="20F875A5"/>
    <w:rsid w:val="21152809"/>
    <w:rsid w:val="211C2806"/>
    <w:rsid w:val="212968C1"/>
    <w:rsid w:val="21315554"/>
    <w:rsid w:val="21920807"/>
    <w:rsid w:val="21B666E7"/>
    <w:rsid w:val="220A45D5"/>
    <w:rsid w:val="225418B2"/>
    <w:rsid w:val="22BC61C2"/>
    <w:rsid w:val="22CF3229"/>
    <w:rsid w:val="23243130"/>
    <w:rsid w:val="23877D2A"/>
    <w:rsid w:val="2417445E"/>
    <w:rsid w:val="24BA280C"/>
    <w:rsid w:val="24EB703A"/>
    <w:rsid w:val="24EC3854"/>
    <w:rsid w:val="253003B0"/>
    <w:rsid w:val="25377199"/>
    <w:rsid w:val="258B0F50"/>
    <w:rsid w:val="25905E1C"/>
    <w:rsid w:val="26511DD2"/>
    <w:rsid w:val="266D4CF0"/>
    <w:rsid w:val="26D1775D"/>
    <w:rsid w:val="27565784"/>
    <w:rsid w:val="27FA543F"/>
    <w:rsid w:val="28467543"/>
    <w:rsid w:val="28475999"/>
    <w:rsid w:val="28710E21"/>
    <w:rsid w:val="287F40F1"/>
    <w:rsid w:val="2886652D"/>
    <w:rsid w:val="28D85D13"/>
    <w:rsid w:val="29894089"/>
    <w:rsid w:val="2A0E500A"/>
    <w:rsid w:val="2AAA0146"/>
    <w:rsid w:val="2AD2298B"/>
    <w:rsid w:val="2B01233C"/>
    <w:rsid w:val="2B157CAA"/>
    <w:rsid w:val="2B512CEB"/>
    <w:rsid w:val="2B812C0E"/>
    <w:rsid w:val="2BB06D6E"/>
    <w:rsid w:val="2BC96582"/>
    <w:rsid w:val="2BF07E80"/>
    <w:rsid w:val="2BF536D0"/>
    <w:rsid w:val="2BF94DA0"/>
    <w:rsid w:val="2C153BB2"/>
    <w:rsid w:val="2CCC1540"/>
    <w:rsid w:val="2CF51085"/>
    <w:rsid w:val="2D0E19FB"/>
    <w:rsid w:val="2D425435"/>
    <w:rsid w:val="2D4D65CE"/>
    <w:rsid w:val="2D653F91"/>
    <w:rsid w:val="2D6F0495"/>
    <w:rsid w:val="2D980D54"/>
    <w:rsid w:val="2DA5011B"/>
    <w:rsid w:val="2DF85CB5"/>
    <w:rsid w:val="2E2B4302"/>
    <w:rsid w:val="2E411387"/>
    <w:rsid w:val="2E68598C"/>
    <w:rsid w:val="2E7D0637"/>
    <w:rsid w:val="2E8C10FD"/>
    <w:rsid w:val="2EE846B5"/>
    <w:rsid w:val="2F3C7AFC"/>
    <w:rsid w:val="2F9015F7"/>
    <w:rsid w:val="2FA34028"/>
    <w:rsid w:val="2FB14BFA"/>
    <w:rsid w:val="2FD24608"/>
    <w:rsid w:val="30414815"/>
    <w:rsid w:val="30956DCA"/>
    <w:rsid w:val="31707F16"/>
    <w:rsid w:val="318575BE"/>
    <w:rsid w:val="31FA6041"/>
    <w:rsid w:val="32242510"/>
    <w:rsid w:val="32C75788"/>
    <w:rsid w:val="32FD7AE2"/>
    <w:rsid w:val="33002A5A"/>
    <w:rsid w:val="331F5904"/>
    <w:rsid w:val="339C0D25"/>
    <w:rsid w:val="33AF5DBD"/>
    <w:rsid w:val="33C70265"/>
    <w:rsid w:val="33DD16AF"/>
    <w:rsid w:val="344D5332"/>
    <w:rsid w:val="34596520"/>
    <w:rsid w:val="348B1723"/>
    <w:rsid w:val="34AC5B15"/>
    <w:rsid w:val="34B65BA8"/>
    <w:rsid w:val="356E0FA7"/>
    <w:rsid w:val="35897EE6"/>
    <w:rsid w:val="35A10D62"/>
    <w:rsid w:val="35BF41B7"/>
    <w:rsid w:val="35CF507F"/>
    <w:rsid w:val="35E02152"/>
    <w:rsid w:val="36212A2F"/>
    <w:rsid w:val="362D0AAC"/>
    <w:rsid w:val="364213EB"/>
    <w:rsid w:val="368A3AA0"/>
    <w:rsid w:val="369B3BBB"/>
    <w:rsid w:val="36A24866"/>
    <w:rsid w:val="37F83689"/>
    <w:rsid w:val="37F84106"/>
    <w:rsid w:val="38741B00"/>
    <w:rsid w:val="391A2AB5"/>
    <w:rsid w:val="39333B77"/>
    <w:rsid w:val="39355C2E"/>
    <w:rsid w:val="395F5EFD"/>
    <w:rsid w:val="3A3A0F35"/>
    <w:rsid w:val="3A4D0C68"/>
    <w:rsid w:val="3A962A0D"/>
    <w:rsid w:val="3B857EF5"/>
    <w:rsid w:val="3B9F72A2"/>
    <w:rsid w:val="3BF57164"/>
    <w:rsid w:val="3BF9786A"/>
    <w:rsid w:val="3C2D3BCC"/>
    <w:rsid w:val="3C2F7A2F"/>
    <w:rsid w:val="3C5854FA"/>
    <w:rsid w:val="3CA43637"/>
    <w:rsid w:val="3CB93B8B"/>
    <w:rsid w:val="3D2B3420"/>
    <w:rsid w:val="3D2E039F"/>
    <w:rsid w:val="3D697604"/>
    <w:rsid w:val="3DD746CE"/>
    <w:rsid w:val="3E0237FE"/>
    <w:rsid w:val="3E4D474F"/>
    <w:rsid w:val="3EB1187A"/>
    <w:rsid w:val="3ECD050F"/>
    <w:rsid w:val="3F635508"/>
    <w:rsid w:val="3F814DC4"/>
    <w:rsid w:val="3F942A14"/>
    <w:rsid w:val="3F9654C5"/>
    <w:rsid w:val="3FB129AA"/>
    <w:rsid w:val="3FC3035B"/>
    <w:rsid w:val="3FCA68B7"/>
    <w:rsid w:val="40395517"/>
    <w:rsid w:val="405C37BB"/>
    <w:rsid w:val="411822B4"/>
    <w:rsid w:val="415F5E84"/>
    <w:rsid w:val="416536D7"/>
    <w:rsid w:val="41EE7883"/>
    <w:rsid w:val="42195183"/>
    <w:rsid w:val="42AC5638"/>
    <w:rsid w:val="42D61C15"/>
    <w:rsid w:val="43DE2931"/>
    <w:rsid w:val="451D115F"/>
    <w:rsid w:val="451D54D5"/>
    <w:rsid w:val="453F34B5"/>
    <w:rsid w:val="458E4E11"/>
    <w:rsid w:val="46154283"/>
    <w:rsid w:val="4654512D"/>
    <w:rsid w:val="467E22DA"/>
    <w:rsid w:val="46BD4E02"/>
    <w:rsid w:val="47F45591"/>
    <w:rsid w:val="480D36D1"/>
    <w:rsid w:val="48834FAF"/>
    <w:rsid w:val="48EA5263"/>
    <w:rsid w:val="492E08FE"/>
    <w:rsid w:val="49463658"/>
    <w:rsid w:val="49CC7779"/>
    <w:rsid w:val="49F92C03"/>
    <w:rsid w:val="4A4A6F73"/>
    <w:rsid w:val="4A9F73F2"/>
    <w:rsid w:val="4B065F3E"/>
    <w:rsid w:val="4BA03308"/>
    <w:rsid w:val="4BE800A4"/>
    <w:rsid w:val="4CCA41E9"/>
    <w:rsid w:val="4D505D63"/>
    <w:rsid w:val="4DB276E1"/>
    <w:rsid w:val="4E05713A"/>
    <w:rsid w:val="4E064E9F"/>
    <w:rsid w:val="4E510D5E"/>
    <w:rsid w:val="4E9042A5"/>
    <w:rsid w:val="4EBD41B7"/>
    <w:rsid w:val="4EC105A5"/>
    <w:rsid w:val="4F6A193E"/>
    <w:rsid w:val="50281F8E"/>
    <w:rsid w:val="50926F7D"/>
    <w:rsid w:val="509803E1"/>
    <w:rsid w:val="50B225EC"/>
    <w:rsid w:val="51062AD6"/>
    <w:rsid w:val="511C5A4B"/>
    <w:rsid w:val="5140229F"/>
    <w:rsid w:val="51886AFA"/>
    <w:rsid w:val="51CB7009"/>
    <w:rsid w:val="51F021AD"/>
    <w:rsid w:val="51F86337"/>
    <w:rsid w:val="520854F6"/>
    <w:rsid w:val="525726F1"/>
    <w:rsid w:val="529979C0"/>
    <w:rsid w:val="52C34DF2"/>
    <w:rsid w:val="52C46295"/>
    <w:rsid w:val="52FE3879"/>
    <w:rsid w:val="53351E09"/>
    <w:rsid w:val="53C12459"/>
    <w:rsid w:val="53FB15D1"/>
    <w:rsid w:val="5459179A"/>
    <w:rsid w:val="546512E0"/>
    <w:rsid w:val="54AB08B3"/>
    <w:rsid w:val="54AE0B6A"/>
    <w:rsid w:val="54B81A07"/>
    <w:rsid w:val="55877D4E"/>
    <w:rsid w:val="55BB0964"/>
    <w:rsid w:val="55C06351"/>
    <w:rsid w:val="55DA7F72"/>
    <w:rsid w:val="56525EF4"/>
    <w:rsid w:val="56650268"/>
    <w:rsid w:val="567A01AB"/>
    <w:rsid w:val="56B81FA2"/>
    <w:rsid w:val="576F766B"/>
    <w:rsid w:val="57B40121"/>
    <w:rsid w:val="57EB5345"/>
    <w:rsid w:val="57EE7F31"/>
    <w:rsid w:val="5872200A"/>
    <w:rsid w:val="5885761A"/>
    <w:rsid w:val="593755F3"/>
    <w:rsid w:val="59534355"/>
    <w:rsid w:val="59BD4B74"/>
    <w:rsid w:val="5A90351C"/>
    <w:rsid w:val="5ADF6F86"/>
    <w:rsid w:val="5AFA0685"/>
    <w:rsid w:val="5B0736DF"/>
    <w:rsid w:val="5B3F474C"/>
    <w:rsid w:val="5B827561"/>
    <w:rsid w:val="5BE52BC1"/>
    <w:rsid w:val="5C1F00E3"/>
    <w:rsid w:val="5C582DE4"/>
    <w:rsid w:val="5C755C8B"/>
    <w:rsid w:val="5C7E5E7E"/>
    <w:rsid w:val="5C985053"/>
    <w:rsid w:val="5CC55DD5"/>
    <w:rsid w:val="5DF60B1D"/>
    <w:rsid w:val="5E007E87"/>
    <w:rsid w:val="5E0D6E04"/>
    <w:rsid w:val="5E1C72DF"/>
    <w:rsid w:val="5E1E00A2"/>
    <w:rsid w:val="5E5E0920"/>
    <w:rsid w:val="5E6563CE"/>
    <w:rsid w:val="5E743A3E"/>
    <w:rsid w:val="5EA5614C"/>
    <w:rsid w:val="5ED03D00"/>
    <w:rsid w:val="5FCB6BB4"/>
    <w:rsid w:val="5FE0097E"/>
    <w:rsid w:val="601B5EA1"/>
    <w:rsid w:val="603253DE"/>
    <w:rsid w:val="60591AB4"/>
    <w:rsid w:val="61405198"/>
    <w:rsid w:val="615A76D5"/>
    <w:rsid w:val="61851963"/>
    <w:rsid w:val="61DB1E7F"/>
    <w:rsid w:val="623A203D"/>
    <w:rsid w:val="62A45FB5"/>
    <w:rsid w:val="62D87EFC"/>
    <w:rsid w:val="63005C83"/>
    <w:rsid w:val="63A92B04"/>
    <w:rsid w:val="64562C2A"/>
    <w:rsid w:val="64570A30"/>
    <w:rsid w:val="647F66FF"/>
    <w:rsid w:val="653E0389"/>
    <w:rsid w:val="655C47AD"/>
    <w:rsid w:val="656D2474"/>
    <w:rsid w:val="65920B3A"/>
    <w:rsid w:val="665F049D"/>
    <w:rsid w:val="670642A3"/>
    <w:rsid w:val="6739269B"/>
    <w:rsid w:val="67DC5103"/>
    <w:rsid w:val="67F147EA"/>
    <w:rsid w:val="68171689"/>
    <w:rsid w:val="68527CF8"/>
    <w:rsid w:val="68C915E9"/>
    <w:rsid w:val="692E42FC"/>
    <w:rsid w:val="69EB46B7"/>
    <w:rsid w:val="6A122FEF"/>
    <w:rsid w:val="6A31226B"/>
    <w:rsid w:val="6A4609BE"/>
    <w:rsid w:val="6A4E53A8"/>
    <w:rsid w:val="6A6448E1"/>
    <w:rsid w:val="6AA327D8"/>
    <w:rsid w:val="6BD855C8"/>
    <w:rsid w:val="6C366156"/>
    <w:rsid w:val="6C3B7778"/>
    <w:rsid w:val="6C8330C7"/>
    <w:rsid w:val="6D5E3CDA"/>
    <w:rsid w:val="6DBB644B"/>
    <w:rsid w:val="6E166FE8"/>
    <w:rsid w:val="6E4726C8"/>
    <w:rsid w:val="6E505CF5"/>
    <w:rsid w:val="6E5D6FEF"/>
    <w:rsid w:val="6E684047"/>
    <w:rsid w:val="6EB21F1C"/>
    <w:rsid w:val="6EDC78D7"/>
    <w:rsid w:val="6EDE4FCA"/>
    <w:rsid w:val="6EE96A8E"/>
    <w:rsid w:val="6F5C37C2"/>
    <w:rsid w:val="6F8D32DA"/>
    <w:rsid w:val="6FC34B45"/>
    <w:rsid w:val="6FD25E45"/>
    <w:rsid w:val="6FFC1CFD"/>
    <w:rsid w:val="708D464B"/>
    <w:rsid w:val="70F27898"/>
    <w:rsid w:val="713129D2"/>
    <w:rsid w:val="7188610C"/>
    <w:rsid w:val="72805BCB"/>
    <w:rsid w:val="73615A08"/>
    <w:rsid w:val="73D826FF"/>
    <w:rsid w:val="744A07D5"/>
    <w:rsid w:val="74813F47"/>
    <w:rsid w:val="74A62AE9"/>
    <w:rsid w:val="757374AE"/>
    <w:rsid w:val="75CA2B09"/>
    <w:rsid w:val="75D154CB"/>
    <w:rsid w:val="760A66CD"/>
    <w:rsid w:val="76576F10"/>
    <w:rsid w:val="76C863E9"/>
    <w:rsid w:val="76E52294"/>
    <w:rsid w:val="77C30BC6"/>
    <w:rsid w:val="77C8624F"/>
    <w:rsid w:val="77DA252A"/>
    <w:rsid w:val="77E8339E"/>
    <w:rsid w:val="77EE3FE7"/>
    <w:rsid w:val="786A6925"/>
    <w:rsid w:val="78B64DDB"/>
    <w:rsid w:val="78D17CF6"/>
    <w:rsid w:val="78F51C72"/>
    <w:rsid w:val="7936053E"/>
    <w:rsid w:val="7A3063DE"/>
    <w:rsid w:val="7A5536F5"/>
    <w:rsid w:val="7AC6441E"/>
    <w:rsid w:val="7AD03B56"/>
    <w:rsid w:val="7AFD74CC"/>
    <w:rsid w:val="7C9A51F7"/>
    <w:rsid w:val="7D482EAC"/>
    <w:rsid w:val="7D5E5958"/>
    <w:rsid w:val="7D7A213C"/>
    <w:rsid w:val="7DB920A8"/>
    <w:rsid w:val="7E13413D"/>
    <w:rsid w:val="7E1E065F"/>
    <w:rsid w:val="7E657413"/>
    <w:rsid w:val="7E952F4B"/>
    <w:rsid w:val="7E982A38"/>
    <w:rsid w:val="7EAC11C6"/>
    <w:rsid w:val="7EB561B5"/>
    <w:rsid w:val="7EE579CB"/>
    <w:rsid w:val="7EED41C0"/>
    <w:rsid w:val="7EFE565A"/>
    <w:rsid w:val="7F21638D"/>
    <w:rsid w:val="7F632560"/>
    <w:rsid w:val="7FA31F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qFormat="1" w:unhideWhenUsed="0" w:uiPriority="99" w:name="toc 6"/>
    <w:lsdException w:uiPriority="39" w:name="toc 7"/>
    <w:lsdException w:uiPriority="39" w:name="toc 8"/>
    <w:lsdException w:qFormat="1" w:unhideWhenUsed="0" w:uiPriority="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qFormat="1" w:unhideWhenUsed="0" w:uiPriority="0"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26"/>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59"/>
    <w:qFormat/>
    <w:uiPriority w:val="0"/>
    <w:pPr>
      <w:keepNext/>
      <w:keepLines/>
      <w:spacing w:before="260" w:after="260" w:line="416" w:lineRule="auto"/>
      <w:outlineLvl w:val="2"/>
    </w:pPr>
    <w:rPr>
      <w:b/>
      <w:bCs/>
      <w:kern w:val="0"/>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8">
    <w:name w:val="heading 5"/>
    <w:basedOn w:val="1"/>
    <w:next w:val="1"/>
    <w:link w:val="109"/>
    <w:qFormat/>
    <w:uiPriority w:val="0"/>
    <w:pPr>
      <w:keepNext/>
      <w:keepLines/>
      <w:spacing w:before="280" w:after="290" w:line="376" w:lineRule="auto"/>
      <w:outlineLvl w:val="4"/>
    </w:pPr>
    <w:rPr>
      <w:rFonts w:ascii="Calibri" w:hAnsi="Calibri"/>
      <w:b/>
      <w:bCs/>
      <w:sz w:val="28"/>
      <w:szCs w:val="28"/>
    </w:rPr>
  </w:style>
  <w:style w:type="paragraph" w:styleId="9">
    <w:name w:val="heading 6"/>
    <w:basedOn w:val="1"/>
    <w:next w:val="1"/>
    <w:link w:val="62"/>
    <w:qFormat/>
    <w:uiPriority w:val="0"/>
    <w:pPr>
      <w:keepNext/>
      <w:keepLines/>
      <w:spacing w:before="240" w:after="64" w:line="320" w:lineRule="auto"/>
      <w:outlineLvl w:val="5"/>
    </w:pPr>
    <w:rPr>
      <w:rFonts w:ascii="Calibri Light" w:hAnsi="Calibri Light"/>
      <w:b/>
      <w:bCs/>
      <w:sz w:val="24"/>
    </w:rPr>
  </w:style>
  <w:style w:type="paragraph" w:styleId="10">
    <w:name w:val="heading 7"/>
    <w:basedOn w:val="1"/>
    <w:next w:val="11"/>
    <w:link w:val="52"/>
    <w:qFormat/>
    <w:uiPriority w:val="0"/>
    <w:pPr>
      <w:keepNext/>
      <w:keepLines/>
      <w:spacing w:before="240" w:after="64" w:line="320" w:lineRule="auto"/>
      <w:outlineLvl w:val="6"/>
    </w:pPr>
    <w:rPr>
      <w:b/>
      <w:sz w:val="24"/>
    </w:rPr>
  </w:style>
  <w:style w:type="paragraph" w:styleId="12">
    <w:name w:val="heading 8"/>
    <w:basedOn w:val="1"/>
    <w:next w:val="11"/>
    <w:link w:val="138"/>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11"/>
    <w:link w:val="101"/>
    <w:qFormat/>
    <w:uiPriority w:val="0"/>
    <w:pPr>
      <w:keepNext/>
      <w:keepLines/>
      <w:spacing w:before="240" w:after="64" w:line="320"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2"/>
    <w:basedOn w:val="1"/>
    <w:link w:val="75"/>
    <w:autoRedefine/>
    <w:unhideWhenUsed/>
    <w:qFormat/>
    <w:uiPriority w:val="0"/>
    <w:pPr>
      <w:spacing w:after="120" w:line="480" w:lineRule="auto"/>
      <w:ind w:left="420" w:leftChars="200"/>
    </w:pPr>
  </w:style>
  <w:style w:type="paragraph" w:styleId="3">
    <w:name w:val="macro"/>
    <w:link w:val="56"/>
    <w:autoRedefine/>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lang w:val="en-US" w:eastAsia="zh-CN" w:bidi="ar-SA"/>
    </w:rPr>
  </w:style>
  <w:style w:type="paragraph" w:styleId="11">
    <w:name w:val="Normal Indent"/>
    <w:basedOn w:val="1"/>
    <w:link w:val="103"/>
    <w:autoRedefine/>
    <w:qFormat/>
    <w:uiPriority w:val="0"/>
    <w:pPr>
      <w:ind w:firstLine="420"/>
    </w:pPr>
    <w:rPr>
      <w:szCs w:val="20"/>
    </w:rPr>
  </w:style>
  <w:style w:type="paragraph" w:styleId="14">
    <w:name w:val="List Number"/>
    <w:basedOn w:val="1"/>
    <w:autoRedefine/>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autoRedefine/>
    <w:qFormat/>
    <w:uiPriority w:val="0"/>
    <w:pPr>
      <w:spacing w:before="152" w:after="160"/>
    </w:pPr>
    <w:rPr>
      <w:rFonts w:ascii="Arial" w:hAnsi="Arial" w:eastAsia="黑体" w:cs="Arial"/>
      <w:sz w:val="20"/>
      <w:szCs w:val="20"/>
    </w:rPr>
  </w:style>
  <w:style w:type="paragraph" w:styleId="16">
    <w:name w:val="Document Map"/>
    <w:basedOn w:val="1"/>
    <w:link w:val="131"/>
    <w:autoRedefine/>
    <w:semiHidden/>
    <w:qFormat/>
    <w:uiPriority w:val="0"/>
    <w:pPr>
      <w:shd w:val="clear" w:color="auto" w:fill="000080"/>
    </w:pPr>
  </w:style>
  <w:style w:type="paragraph" w:styleId="17">
    <w:name w:val="annotation text"/>
    <w:basedOn w:val="1"/>
    <w:link w:val="71"/>
    <w:autoRedefine/>
    <w:qFormat/>
    <w:uiPriority w:val="0"/>
    <w:pPr>
      <w:jc w:val="left"/>
    </w:pPr>
  </w:style>
  <w:style w:type="paragraph" w:styleId="18">
    <w:name w:val="Body Text 3"/>
    <w:basedOn w:val="1"/>
    <w:link w:val="133"/>
    <w:autoRedefine/>
    <w:qFormat/>
    <w:uiPriority w:val="0"/>
    <w:pPr>
      <w:spacing w:line="500" w:lineRule="exact"/>
    </w:pPr>
    <w:rPr>
      <w:b/>
      <w:bCs/>
      <w:kern w:val="0"/>
      <w:sz w:val="24"/>
    </w:rPr>
  </w:style>
  <w:style w:type="paragraph" w:styleId="19">
    <w:name w:val="Body Text"/>
    <w:basedOn w:val="1"/>
    <w:link w:val="83"/>
    <w:autoRedefine/>
    <w:unhideWhenUsed/>
    <w:qFormat/>
    <w:uiPriority w:val="99"/>
    <w:pPr>
      <w:spacing w:after="120"/>
    </w:pPr>
  </w:style>
  <w:style w:type="paragraph" w:styleId="20">
    <w:name w:val="Body Text Indent"/>
    <w:basedOn w:val="1"/>
    <w:link w:val="55"/>
    <w:autoRedefine/>
    <w:qFormat/>
    <w:uiPriority w:val="0"/>
    <w:pPr>
      <w:ind w:firstLine="830" w:firstLineChars="352"/>
    </w:pPr>
    <w:rPr>
      <w:rFonts w:ascii="仿宋_GB2312" w:eastAsia="仿宋_GB2312"/>
      <w:kern w:val="0"/>
      <w:sz w:val="32"/>
      <w:szCs w:val="20"/>
    </w:rPr>
  </w:style>
  <w:style w:type="paragraph" w:styleId="21">
    <w:name w:val="List Number 3"/>
    <w:basedOn w:val="1"/>
    <w:autoRedefine/>
    <w:qFormat/>
    <w:uiPriority w:val="0"/>
    <w:pPr>
      <w:tabs>
        <w:tab w:val="left" w:pos="900"/>
      </w:tabs>
      <w:ind w:left="900" w:hanging="420"/>
    </w:pPr>
  </w:style>
  <w:style w:type="paragraph" w:styleId="22">
    <w:name w:val="List 2"/>
    <w:basedOn w:val="1"/>
    <w:autoRedefine/>
    <w:qFormat/>
    <w:uiPriority w:val="0"/>
    <w:pPr>
      <w:ind w:left="100" w:leftChars="200" w:hanging="200" w:hangingChars="200"/>
    </w:pPr>
    <w:rPr>
      <w:sz w:val="28"/>
    </w:rPr>
  </w:style>
  <w:style w:type="paragraph" w:styleId="23">
    <w:name w:val="Plain Text"/>
    <w:basedOn w:val="1"/>
    <w:next w:val="7"/>
    <w:link w:val="121"/>
    <w:autoRedefine/>
    <w:qFormat/>
    <w:uiPriority w:val="0"/>
    <w:rPr>
      <w:rFonts w:ascii="宋体" w:hAnsi="Courier New"/>
      <w:kern w:val="0"/>
      <w:sz w:val="20"/>
      <w:szCs w:val="21"/>
    </w:rPr>
  </w:style>
  <w:style w:type="paragraph" w:styleId="24">
    <w:name w:val="Date"/>
    <w:basedOn w:val="1"/>
    <w:next w:val="1"/>
    <w:link w:val="50"/>
    <w:autoRedefine/>
    <w:qFormat/>
    <w:uiPriority w:val="0"/>
    <w:pPr>
      <w:ind w:left="100" w:leftChars="2500"/>
    </w:pPr>
  </w:style>
  <w:style w:type="paragraph" w:styleId="25">
    <w:name w:val="Balloon Text"/>
    <w:basedOn w:val="1"/>
    <w:link w:val="113"/>
    <w:autoRedefine/>
    <w:semiHidden/>
    <w:qFormat/>
    <w:uiPriority w:val="0"/>
    <w:rPr>
      <w:sz w:val="18"/>
      <w:szCs w:val="18"/>
    </w:rPr>
  </w:style>
  <w:style w:type="paragraph" w:styleId="26">
    <w:name w:val="footer"/>
    <w:basedOn w:val="1"/>
    <w:link w:val="116"/>
    <w:autoRedefine/>
    <w:unhideWhenUsed/>
    <w:qFormat/>
    <w:uiPriority w:val="0"/>
    <w:pPr>
      <w:tabs>
        <w:tab w:val="center" w:pos="4153"/>
        <w:tab w:val="right" w:pos="8306"/>
      </w:tabs>
      <w:snapToGrid w:val="0"/>
      <w:jc w:val="left"/>
    </w:pPr>
    <w:rPr>
      <w:rFonts w:ascii="Calibri" w:hAnsi="Calibri"/>
      <w:kern w:val="0"/>
      <w:sz w:val="18"/>
      <w:szCs w:val="18"/>
    </w:rPr>
  </w:style>
  <w:style w:type="paragraph" w:styleId="27">
    <w:name w:val="envelope return"/>
    <w:basedOn w:val="1"/>
    <w:autoRedefine/>
    <w:qFormat/>
    <w:uiPriority w:val="0"/>
    <w:pPr>
      <w:snapToGrid w:val="0"/>
    </w:pPr>
    <w:rPr>
      <w:rFonts w:ascii="Arial" w:hAnsi="Arial"/>
    </w:rPr>
  </w:style>
  <w:style w:type="paragraph" w:styleId="28">
    <w:name w:val="header"/>
    <w:basedOn w:val="1"/>
    <w:link w:val="107"/>
    <w:autoRedefine/>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29">
    <w:name w:val="toc 1"/>
    <w:basedOn w:val="1"/>
    <w:next w:val="1"/>
    <w:qFormat/>
    <w:uiPriority w:val="39"/>
    <w:pPr>
      <w:tabs>
        <w:tab w:val="right" w:leader="dot" w:pos="9000"/>
      </w:tabs>
      <w:spacing w:before="120" w:after="120" w:line="480" w:lineRule="exact"/>
      <w:ind w:left="126" w:leftChars="60" w:firstLine="440" w:firstLineChars="137"/>
      <w:jc w:val="left"/>
    </w:pPr>
    <w:rPr>
      <w:rFonts w:ascii="宋体" w:hAnsi="宋体"/>
      <w:b/>
      <w:bCs/>
      <w:caps/>
      <w:sz w:val="24"/>
    </w:rPr>
  </w:style>
  <w:style w:type="paragraph" w:styleId="30">
    <w:name w:val="List"/>
    <w:basedOn w:val="1"/>
    <w:qFormat/>
    <w:uiPriority w:val="0"/>
    <w:pPr>
      <w:ind w:left="200" w:hanging="200" w:hangingChars="200"/>
    </w:pPr>
    <w:rPr>
      <w:sz w:val="28"/>
    </w:rPr>
  </w:style>
  <w:style w:type="paragraph" w:styleId="31">
    <w:name w:val="toc 6"/>
    <w:basedOn w:val="1"/>
    <w:next w:val="1"/>
    <w:semiHidden/>
    <w:qFormat/>
    <w:uiPriority w:val="99"/>
    <w:pPr>
      <w:ind w:left="2100" w:leftChars="1000"/>
    </w:pPr>
  </w:style>
  <w:style w:type="paragraph" w:styleId="32">
    <w:name w:val="Body Text Indent 3"/>
    <w:basedOn w:val="1"/>
    <w:link w:val="97"/>
    <w:qFormat/>
    <w:uiPriority w:val="0"/>
    <w:pPr>
      <w:spacing w:after="120"/>
      <w:ind w:left="420" w:leftChars="200"/>
    </w:pPr>
    <w:rPr>
      <w:kern w:val="0"/>
      <w:sz w:val="16"/>
      <w:szCs w:val="16"/>
    </w:rPr>
  </w:style>
  <w:style w:type="paragraph" w:styleId="33">
    <w:name w:val="toc 9"/>
    <w:basedOn w:val="1"/>
    <w:next w:val="1"/>
    <w:semiHidden/>
    <w:qFormat/>
    <w:uiPriority w:val="0"/>
    <w:pPr>
      <w:ind w:left="3360" w:leftChars="1600"/>
    </w:pPr>
    <w:rPr>
      <w:rFonts w:ascii="宋体" w:hAnsi="Courier New"/>
      <w:szCs w:val="20"/>
    </w:rPr>
  </w:style>
  <w:style w:type="paragraph" w:styleId="34">
    <w:name w:val="Body Text 2"/>
    <w:basedOn w:val="1"/>
    <w:link w:val="146"/>
    <w:qFormat/>
    <w:uiPriority w:val="0"/>
    <w:pPr>
      <w:spacing w:after="120" w:line="480" w:lineRule="auto"/>
    </w:pPr>
    <w:rPr>
      <w:kern w:val="0"/>
      <w:sz w:val="20"/>
    </w:rPr>
  </w:style>
  <w:style w:type="paragraph" w:styleId="35">
    <w:name w:val="HTML Preformatted"/>
    <w:basedOn w:val="1"/>
    <w:link w:val="1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6">
    <w:name w:val="Normal (Web)"/>
    <w:basedOn w:val="1"/>
    <w:qFormat/>
    <w:uiPriority w:val="0"/>
    <w:pPr>
      <w:widowControl/>
      <w:spacing w:before="100" w:beforeAutospacing="1" w:after="100" w:afterAutospacing="1"/>
      <w:jc w:val="left"/>
    </w:pPr>
    <w:rPr>
      <w:rFonts w:ascii="宋体" w:hAnsi="宋体" w:cs="宋体"/>
      <w:color w:val="000000"/>
      <w:kern w:val="0"/>
      <w:sz w:val="24"/>
    </w:rPr>
  </w:style>
  <w:style w:type="paragraph" w:styleId="37">
    <w:name w:val="index 1"/>
    <w:basedOn w:val="1"/>
    <w:next w:val="1"/>
    <w:semiHidden/>
    <w:qFormat/>
    <w:uiPriority w:val="0"/>
    <w:pPr>
      <w:spacing w:line="400" w:lineRule="exact"/>
      <w:ind w:firstLine="420" w:firstLineChars="200"/>
    </w:pPr>
    <w:rPr>
      <w:rFonts w:ascii="宋体" w:hAnsi="Courier New"/>
      <w:b/>
      <w:szCs w:val="20"/>
    </w:rPr>
  </w:style>
  <w:style w:type="paragraph" w:styleId="38">
    <w:name w:val="annotation subject"/>
    <w:basedOn w:val="17"/>
    <w:next w:val="17"/>
    <w:link w:val="51"/>
    <w:semiHidden/>
    <w:qFormat/>
    <w:uiPriority w:val="0"/>
    <w:rPr>
      <w:b/>
      <w:bCs/>
    </w:rPr>
  </w:style>
  <w:style w:type="paragraph" w:styleId="39">
    <w:name w:val="Body Text First Indent"/>
    <w:basedOn w:val="19"/>
    <w:next w:val="31"/>
    <w:unhideWhenUsed/>
    <w:qFormat/>
    <w:uiPriority w:val="99"/>
    <w:pPr>
      <w:ind w:firstLine="420" w:firstLineChars="100"/>
    </w:pPr>
  </w:style>
  <w:style w:type="paragraph" w:styleId="40">
    <w:name w:val="Body Text First Indent 2"/>
    <w:basedOn w:val="20"/>
    <w:next w:val="1"/>
    <w:link w:val="210"/>
    <w:qFormat/>
    <w:uiPriority w:val="0"/>
    <w:pPr>
      <w:spacing w:after="120"/>
      <w:ind w:left="420" w:leftChars="200" w:firstLine="420" w:firstLineChars="200"/>
    </w:pPr>
    <w:rPr>
      <w:rFonts w:ascii="Times New Roman" w:eastAsia="宋体"/>
      <w:kern w:val="2"/>
      <w:sz w:val="21"/>
      <w:szCs w:val="24"/>
    </w:rPr>
  </w:style>
  <w:style w:type="table" w:styleId="42">
    <w:name w:val="Table Grid"/>
    <w:basedOn w:val="41"/>
    <w:qFormat/>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44">
    <w:name w:val="Strong"/>
    <w:qFormat/>
    <w:uiPriority w:val="22"/>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日期 Char"/>
    <w:link w:val="24"/>
    <w:qFormat/>
    <w:uiPriority w:val="0"/>
    <w:rPr>
      <w:rFonts w:ascii="Times New Roman" w:hAnsi="Times New Roman"/>
      <w:kern w:val="2"/>
      <w:sz w:val="21"/>
      <w:szCs w:val="24"/>
    </w:rPr>
  </w:style>
  <w:style w:type="character" w:customStyle="1" w:styleId="51">
    <w:name w:val="批注主题 Char"/>
    <w:link w:val="38"/>
    <w:semiHidden/>
    <w:qFormat/>
    <w:uiPriority w:val="0"/>
    <w:rPr>
      <w:rFonts w:ascii="Times New Roman" w:hAnsi="Times New Roman"/>
      <w:b/>
      <w:bCs/>
      <w:kern w:val="2"/>
      <w:sz w:val="21"/>
      <w:szCs w:val="24"/>
    </w:rPr>
  </w:style>
  <w:style w:type="character" w:customStyle="1" w:styleId="52">
    <w:name w:val="标题 7 Char"/>
    <w:link w:val="10"/>
    <w:qFormat/>
    <w:uiPriority w:val="0"/>
    <w:rPr>
      <w:rFonts w:ascii="Times New Roman" w:hAnsi="Times New Roman"/>
      <w:b/>
      <w:kern w:val="2"/>
      <w:sz w:val="24"/>
      <w:szCs w:val="24"/>
    </w:rPr>
  </w:style>
  <w:style w:type="character" w:customStyle="1" w:styleId="53">
    <w:name w:val="apple-converted-space"/>
    <w:basedOn w:val="43"/>
    <w:qFormat/>
    <w:uiPriority w:val="0"/>
  </w:style>
  <w:style w:type="character" w:customStyle="1" w:styleId="54">
    <w:name w:val="纯文本 Char1"/>
    <w:qFormat/>
    <w:uiPriority w:val="0"/>
    <w:rPr>
      <w:rFonts w:ascii="宋体" w:hAnsi="Courier New" w:eastAsia="宋体" w:cs="Times New Roman"/>
      <w:szCs w:val="20"/>
    </w:rPr>
  </w:style>
  <w:style w:type="character" w:customStyle="1" w:styleId="55">
    <w:name w:val="正文文本缩进 Char"/>
    <w:link w:val="20"/>
    <w:qFormat/>
    <w:uiPriority w:val="0"/>
    <w:rPr>
      <w:rFonts w:ascii="仿宋_GB2312" w:hAnsi="Times New Roman" w:eastAsia="仿宋_GB2312" w:cs="Times New Roman"/>
      <w:sz w:val="32"/>
      <w:szCs w:val="20"/>
    </w:rPr>
  </w:style>
  <w:style w:type="character" w:customStyle="1" w:styleId="56">
    <w:name w:val="宏文本 Char"/>
    <w:link w:val="3"/>
    <w:semiHidden/>
    <w:qFormat/>
    <w:uiPriority w:val="0"/>
    <w:rPr>
      <w:rFonts w:ascii="Courier New" w:hAnsi="Courier New"/>
      <w:lang w:val="en-US" w:eastAsia="zh-CN" w:bidi="ar-SA"/>
    </w:rPr>
  </w:style>
  <w:style w:type="character" w:customStyle="1" w:styleId="57">
    <w:name w:val="Char Char15"/>
    <w:qFormat/>
    <w:locked/>
    <w:uiPriority w:val="0"/>
    <w:rPr>
      <w:rFonts w:eastAsia="宋体"/>
      <w:b/>
      <w:kern w:val="2"/>
      <w:sz w:val="24"/>
      <w:szCs w:val="24"/>
      <w:lang w:bidi="ar-SA"/>
    </w:rPr>
  </w:style>
  <w:style w:type="character" w:customStyle="1" w:styleId="58">
    <w:name w:val="正文文本 2 Char1"/>
    <w:semiHidden/>
    <w:qFormat/>
    <w:uiPriority w:val="99"/>
    <w:rPr>
      <w:rFonts w:ascii="Times New Roman" w:hAnsi="Times New Roman"/>
      <w:kern w:val="2"/>
      <w:sz w:val="21"/>
      <w:szCs w:val="24"/>
    </w:rPr>
  </w:style>
  <w:style w:type="character" w:customStyle="1" w:styleId="59">
    <w:name w:val="标题 3 Char"/>
    <w:link w:val="6"/>
    <w:qFormat/>
    <w:uiPriority w:val="0"/>
    <w:rPr>
      <w:rFonts w:ascii="Times New Roman" w:hAnsi="Times New Roman"/>
      <w:b/>
      <w:bCs/>
      <w:sz w:val="32"/>
      <w:szCs w:val="32"/>
    </w:rPr>
  </w:style>
  <w:style w:type="character" w:customStyle="1" w:styleId="60">
    <w:name w:val="font41"/>
    <w:qFormat/>
    <w:uiPriority w:val="0"/>
    <w:rPr>
      <w:rFonts w:hint="eastAsia" w:ascii="宋体" w:hAnsi="宋体" w:eastAsia="宋体" w:cs="宋体"/>
      <w:color w:val="000000"/>
      <w:sz w:val="22"/>
      <w:szCs w:val="22"/>
      <w:u w:val="none"/>
    </w:rPr>
  </w:style>
  <w:style w:type="character" w:customStyle="1" w:styleId="61">
    <w:name w:val="正文文本 3 Char2"/>
    <w:semiHidden/>
    <w:qFormat/>
    <w:uiPriority w:val="99"/>
    <w:rPr>
      <w:rFonts w:ascii="Times New Roman" w:hAnsi="Times New Roman"/>
      <w:kern w:val="2"/>
      <w:sz w:val="16"/>
      <w:szCs w:val="16"/>
    </w:rPr>
  </w:style>
  <w:style w:type="character" w:customStyle="1" w:styleId="62">
    <w:name w:val="标题 6 Char"/>
    <w:link w:val="9"/>
    <w:qFormat/>
    <w:uiPriority w:val="0"/>
    <w:rPr>
      <w:rFonts w:ascii="Calibri Light" w:hAnsi="Calibri Light" w:eastAsia="宋体" w:cs="Times New Roman"/>
      <w:b/>
      <w:bCs/>
      <w:kern w:val="2"/>
      <w:sz w:val="24"/>
      <w:szCs w:val="24"/>
    </w:rPr>
  </w:style>
  <w:style w:type="character" w:customStyle="1" w:styleId="63">
    <w:name w:val="正文文本 2 Char2"/>
    <w:semiHidden/>
    <w:qFormat/>
    <w:uiPriority w:val="99"/>
    <w:rPr>
      <w:rFonts w:ascii="Times New Roman" w:hAnsi="Times New Roman"/>
      <w:kern w:val="2"/>
      <w:sz w:val="21"/>
      <w:szCs w:val="24"/>
    </w:rPr>
  </w:style>
  <w:style w:type="character" w:customStyle="1" w:styleId="64">
    <w:name w:val="Char Char"/>
    <w:qFormat/>
    <w:locked/>
    <w:uiPriority w:val="0"/>
    <w:rPr>
      <w:rFonts w:ascii="宋体" w:hAnsi="宋体" w:eastAsia="宋体"/>
      <w:kern w:val="2"/>
      <w:sz w:val="21"/>
      <w:szCs w:val="24"/>
      <w:lang w:bidi="ar-SA"/>
    </w:rPr>
  </w:style>
  <w:style w:type="character" w:customStyle="1" w:styleId="65">
    <w:name w:val="Char Char1"/>
    <w:qFormat/>
    <w:locked/>
    <w:uiPriority w:val="0"/>
    <w:rPr>
      <w:rFonts w:ascii="宋体" w:hAnsi="宋体" w:eastAsia="宋体"/>
      <w:szCs w:val="24"/>
      <w:lang w:bidi="ar-SA"/>
    </w:rPr>
  </w:style>
  <w:style w:type="character" w:customStyle="1" w:styleId="66">
    <w:name w:val="日期 Char2"/>
    <w:semiHidden/>
    <w:qFormat/>
    <w:uiPriority w:val="99"/>
    <w:rPr>
      <w:rFonts w:ascii="Times New Roman" w:hAnsi="Times New Roman"/>
      <w:kern w:val="2"/>
      <w:sz w:val="21"/>
      <w:szCs w:val="24"/>
    </w:rPr>
  </w:style>
  <w:style w:type="character" w:customStyle="1" w:styleId="67">
    <w:name w:val="正文文本缩进 Char2"/>
    <w:semiHidden/>
    <w:qFormat/>
    <w:uiPriority w:val="99"/>
    <w:rPr>
      <w:rFonts w:ascii="Times New Roman" w:hAnsi="Times New Roman"/>
      <w:kern w:val="2"/>
      <w:sz w:val="21"/>
      <w:szCs w:val="24"/>
    </w:rPr>
  </w:style>
  <w:style w:type="character" w:customStyle="1" w:styleId="68">
    <w:name w:val="页眉 Char2"/>
    <w:semiHidden/>
    <w:qFormat/>
    <w:uiPriority w:val="99"/>
    <w:rPr>
      <w:rFonts w:ascii="Times New Roman" w:hAnsi="Times New Roman"/>
      <w:kern w:val="2"/>
      <w:sz w:val="18"/>
      <w:szCs w:val="18"/>
    </w:rPr>
  </w:style>
  <w:style w:type="character" w:customStyle="1" w:styleId="69">
    <w:name w:val="Char Char18"/>
    <w:qFormat/>
    <w:locked/>
    <w:uiPriority w:val="0"/>
    <w:rPr>
      <w:rFonts w:eastAsia="宋体"/>
      <w:b/>
      <w:bCs/>
      <w:sz w:val="32"/>
      <w:szCs w:val="32"/>
      <w:lang w:bidi="ar-SA"/>
    </w:rPr>
  </w:style>
  <w:style w:type="character" w:customStyle="1" w:styleId="70">
    <w:name w:val="Char Char9"/>
    <w:qFormat/>
    <w:locked/>
    <w:uiPriority w:val="0"/>
    <w:rPr>
      <w:rFonts w:ascii="宋体" w:hAnsi="宋体" w:eastAsia="宋体"/>
      <w:sz w:val="32"/>
      <w:lang w:bidi="ar-SA"/>
    </w:rPr>
  </w:style>
  <w:style w:type="character" w:customStyle="1" w:styleId="71">
    <w:name w:val="批注文字 Char"/>
    <w:link w:val="17"/>
    <w:qFormat/>
    <w:uiPriority w:val="0"/>
    <w:rPr>
      <w:rFonts w:ascii="Times New Roman" w:hAnsi="Times New Roman"/>
      <w:kern w:val="2"/>
      <w:sz w:val="21"/>
      <w:szCs w:val="24"/>
    </w:rPr>
  </w:style>
  <w:style w:type="character" w:customStyle="1" w:styleId="72">
    <w:name w:val="宏文本 Char2"/>
    <w:semiHidden/>
    <w:qFormat/>
    <w:uiPriority w:val="99"/>
    <w:rPr>
      <w:rFonts w:ascii="Courier New" w:hAnsi="Courier New" w:cs="Courier New"/>
      <w:kern w:val="2"/>
      <w:sz w:val="24"/>
      <w:szCs w:val="24"/>
    </w:rPr>
  </w:style>
  <w:style w:type="character" w:customStyle="1" w:styleId="73">
    <w:name w:val="Char Char10"/>
    <w:qFormat/>
    <w:locked/>
    <w:uiPriority w:val="0"/>
    <w:rPr>
      <w:rFonts w:ascii="宋体" w:hAnsi="宋体" w:eastAsia="宋体"/>
      <w:b/>
      <w:bCs/>
      <w:sz w:val="24"/>
      <w:szCs w:val="24"/>
      <w:lang w:bidi="ar-SA"/>
    </w:rPr>
  </w:style>
  <w:style w:type="character" w:customStyle="1" w:styleId="74">
    <w:name w:val="font51"/>
    <w:qFormat/>
    <w:uiPriority w:val="0"/>
    <w:rPr>
      <w:rFonts w:hint="eastAsia" w:ascii="宋体" w:hAnsi="宋体" w:eastAsia="宋体" w:cs="宋体"/>
      <w:color w:val="000000"/>
      <w:sz w:val="20"/>
      <w:szCs w:val="20"/>
      <w:u w:val="none"/>
    </w:rPr>
  </w:style>
  <w:style w:type="character" w:customStyle="1" w:styleId="75">
    <w:name w:val="正文文本缩进 2 Char"/>
    <w:link w:val="2"/>
    <w:qFormat/>
    <w:uiPriority w:val="0"/>
    <w:rPr>
      <w:rFonts w:ascii="Times New Roman" w:hAnsi="Times New Roman"/>
      <w:kern w:val="2"/>
      <w:sz w:val="21"/>
      <w:szCs w:val="24"/>
    </w:rPr>
  </w:style>
  <w:style w:type="character" w:customStyle="1" w:styleId="76">
    <w:name w:val="mark"/>
    <w:basedOn w:val="43"/>
    <w:qFormat/>
    <w:uiPriority w:val="0"/>
  </w:style>
  <w:style w:type="character" w:customStyle="1" w:styleId="77">
    <w:name w:val="正文文本 Char2"/>
    <w:semiHidden/>
    <w:qFormat/>
    <w:uiPriority w:val="99"/>
    <w:rPr>
      <w:rFonts w:ascii="Times New Roman" w:hAnsi="Times New Roman"/>
      <w:kern w:val="2"/>
      <w:sz w:val="21"/>
      <w:szCs w:val="24"/>
    </w:rPr>
  </w:style>
  <w:style w:type="character" w:customStyle="1" w:styleId="78">
    <w:name w:val="Char Char17"/>
    <w:qFormat/>
    <w:locked/>
    <w:uiPriority w:val="0"/>
    <w:rPr>
      <w:rFonts w:eastAsia="宋体"/>
      <w:b/>
      <w:kern w:val="2"/>
      <w:sz w:val="28"/>
      <w:szCs w:val="24"/>
      <w:lang w:bidi="ar-SA"/>
    </w:rPr>
  </w:style>
  <w:style w:type="character" w:customStyle="1" w:styleId="79">
    <w:name w:val="列出段落 Char"/>
    <w:link w:val="80"/>
    <w:qFormat/>
    <w:locked/>
    <w:uiPriority w:val="0"/>
    <w:rPr>
      <w:kern w:val="2"/>
      <w:sz w:val="21"/>
      <w:szCs w:val="22"/>
    </w:rPr>
  </w:style>
  <w:style w:type="paragraph" w:styleId="80">
    <w:name w:val="List Paragraph"/>
    <w:basedOn w:val="1"/>
    <w:link w:val="79"/>
    <w:qFormat/>
    <w:uiPriority w:val="0"/>
    <w:pPr>
      <w:ind w:firstLine="420" w:firstLineChars="200"/>
    </w:pPr>
    <w:rPr>
      <w:rFonts w:ascii="Calibri" w:hAnsi="Calibri"/>
      <w:szCs w:val="22"/>
    </w:rPr>
  </w:style>
  <w:style w:type="character" w:customStyle="1" w:styleId="81">
    <w:name w:val="正文文本缩进 2 Char1"/>
    <w:semiHidden/>
    <w:qFormat/>
    <w:locked/>
    <w:uiPriority w:val="99"/>
    <w:rPr>
      <w:rFonts w:ascii="Times New Roman" w:hAnsi="Times New Roman"/>
      <w:sz w:val="32"/>
    </w:rPr>
  </w:style>
  <w:style w:type="character" w:customStyle="1" w:styleId="82">
    <w:name w:val="Char Char19"/>
    <w:qFormat/>
    <w:locked/>
    <w:uiPriority w:val="0"/>
    <w:rPr>
      <w:rFonts w:ascii="Arial" w:hAnsi="Arial" w:eastAsia="黑体"/>
      <w:b/>
      <w:bCs/>
      <w:sz w:val="32"/>
      <w:szCs w:val="32"/>
      <w:lang w:bidi="ar-SA"/>
    </w:rPr>
  </w:style>
  <w:style w:type="character" w:customStyle="1" w:styleId="83">
    <w:name w:val="正文文本 Char"/>
    <w:link w:val="19"/>
    <w:qFormat/>
    <w:uiPriority w:val="0"/>
    <w:rPr>
      <w:rFonts w:ascii="Times New Roman" w:hAnsi="Times New Roman"/>
      <w:kern w:val="2"/>
      <w:sz w:val="21"/>
      <w:szCs w:val="24"/>
    </w:rPr>
  </w:style>
  <w:style w:type="character" w:customStyle="1" w:styleId="84">
    <w:name w:val="ca-41"/>
    <w:qFormat/>
    <w:uiPriority w:val="0"/>
    <w:rPr>
      <w:rFonts w:hint="eastAsia" w:ascii="宋体" w:hAnsi="宋体" w:eastAsia="宋体"/>
      <w:color w:val="FF0000"/>
      <w:sz w:val="21"/>
      <w:szCs w:val="21"/>
    </w:rPr>
  </w:style>
  <w:style w:type="character" w:customStyle="1" w:styleId="85">
    <w:name w:val="Char Char4"/>
    <w:qFormat/>
    <w:locked/>
    <w:uiPriority w:val="0"/>
    <w:rPr>
      <w:rFonts w:ascii="宋体" w:hAnsi="Courier New" w:eastAsia="宋体"/>
      <w:szCs w:val="21"/>
      <w:lang w:bidi="ar-SA"/>
    </w:rPr>
  </w:style>
  <w:style w:type="character" w:customStyle="1" w:styleId="86">
    <w:name w:val="Char Char14"/>
    <w:qFormat/>
    <w:locked/>
    <w:uiPriority w:val="0"/>
    <w:rPr>
      <w:rFonts w:ascii="Arial" w:hAnsi="Arial" w:eastAsia="黑体"/>
      <w:kern w:val="2"/>
      <w:sz w:val="24"/>
      <w:szCs w:val="24"/>
      <w:lang w:bidi="ar-SA"/>
    </w:rPr>
  </w:style>
  <w:style w:type="character" w:customStyle="1" w:styleId="87">
    <w:name w:val="日期 Char1"/>
    <w:semiHidden/>
    <w:qFormat/>
    <w:uiPriority w:val="99"/>
    <w:rPr>
      <w:rFonts w:ascii="Times New Roman" w:hAnsi="Times New Roman" w:eastAsia="宋体" w:cs="Times New Roman"/>
      <w:szCs w:val="24"/>
    </w:rPr>
  </w:style>
  <w:style w:type="character" w:customStyle="1" w:styleId="88">
    <w:name w:val="case31"/>
    <w:qFormat/>
    <w:uiPriority w:val="0"/>
    <w:rPr>
      <w:rFonts w:hint="default"/>
      <w:sz w:val="21"/>
      <w:szCs w:val="21"/>
    </w:rPr>
  </w:style>
  <w:style w:type="character" w:customStyle="1" w:styleId="89">
    <w:name w:val="Heading 1 Char"/>
    <w:qFormat/>
    <w:locked/>
    <w:uiPriority w:val="0"/>
    <w:rPr>
      <w:rFonts w:ascii="Calibri" w:hAnsi="Calibri" w:eastAsia="宋体"/>
      <w:b/>
      <w:kern w:val="44"/>
      <w:sz w:val="44"/>
      <w:lang w:val="en-US" w:eastAsia="zh-CN" w:bidi="ar-SA"/>
    </w:rPr>
  </w:style>
  <w:style w:type="character" w:customStyle="1" w:styleId="90">
    <w:name w:val="Char Char20"/>
    <w:qFormat/>
    <w:locked/>
    <w:uiPriority w:val="0"/>
    <w:rPr>
      <w:rFonts w:eastAsia="宋体"/>
      <w:b/>
      <w:bCs/>
      <w:kern w:val="44"/>
      <w:sz w:val="44"/>
      <w:szCs w:val="44"/>
      <w:lang w:bidi="ar-SA"/>
    </w:rPr>
  </w:style>
  <w:style w:type="character" w:customStyle="1" w:styleId="91">
    <w:name w:val="Char Char11"/>
    <w:qFormat/>
    <w:locked/>
    <w:uiPriority w:val="0"/>
    <w:rPr>
      <w:rFonts w:ascii="仿宋_GB2312" w:eastAsia="仿宋_GB2312"/>
      <w:sz w:val="32"/>
      <w:lang w:bidi="ar-SA"/>
    </w:rPr>
  </w:style>
  <w:style w:type="character" w:customStyle="1" w:styleId="92">
    <w:name w:val="标题 1 Char"/>
    <w:link w:val="4"/>
    <w:qFormat/>
    <w:uiPriority w:val="0"/>
    <w:rPr>
      <w:rFonts w:ascii="Times New Roman" w:hAnsi="Times New Roman"/>
      <w:b/>
      <w:bCs/>
      <w:kern w:val="44"/>
      <w:sz w:val="44"/>
      <w:szCs w:val="44"/>
    </w:rPr>
  </w:style>
  <w:style w:type="character" w:customStyle="1" w:styleId="93">
    <w:name w:val="Char Char6"/>
    <w:qFormat/>
    <w:locked/>
    <w:uiPriority w:val="0"/>
    <w:rPr>
      <w:rFonts w:ascii="宋体" w:hAnsi="宋体" w:eastAsia="宋体"/>
      <w:sz w:val="16"/>
      <w:szCs w:val="16"/>
      <w:lang w:bidi="ar-SA"/>
    </w:rPr>
  </w:style>
  <w:style w:type="character" w:customStyle="1" w:styleId="94">
    <w:name w:val="Char Char5"/>
    <w:qFormat/>
    <w:locked/>
    <w:uiPriority w:val="0"/>
    <w:rPr>
      <w:sz w:val="18"/>
      <w:szCs w:val="18"/>
      <w:lang w:bidi="ar-SA"/>
    </w:rPr>
  </w:style>
  <w:style w:type="character" w:customStyle="1" w:styleId="95">
    <w:name w:val="批注框文本 Char2"/>
    <w:semiHidden/>
    <w:qFormat/>
    <w:uiPriority w:val="99"/>
    <w:rPr>
      <w:rFonts w:ascii="Times New Roman" w:hAnsi="Times New Roman"/>
      <w:kern w:val="2"/>
      <w:sz w:val="18"/>
      <w:szCs w:val="18"/>
    </w:rPr>
  </w:style>
  <w:style w:type="character" w:customStyle="1" w:styleId="96">
    <w:name w:val="Char Char8"/>
    <w:qFormat/>
    <w:locked/>
    <w:uiPriority w:val="0"/>
    <w:rPr>
      <w:sz w:val="18"/>
      <w:szCs w:val="18"/>
      <w:lang w:bidi="ar-SA"/>
    </w:rPr>
  </w:style>
  <w:style w:type="character" w:customStyle="1" w:styleId="97">
    <w:name w:val="正文文本缩进 3 Char"/>
    <w:link w:val="32"/>
    <w:qFormat/>
    <w:uiPriority w:val="0"/>
    <w:rPr>
      <w:rFonts w:ascii="Times New Roman" w:hAnsi="Times New Roman"/>
      <w:sz w:val="16"/>
      <w:szCs w:val="16"/>
    </w:rPr>
  </w:style>
  <w:style w:type="character" w:customStyle="1" w:styleId="98">
    <w:name w:val="正文文本缩进 Char1"/>
    <w:semiHidden/>
    <w:qFormat/>
    <w:uiPriority w:val="99"/>
    <w:rPr>
      <w:rFonts w:ascii="Times New Roman" w:hAnsi="Times New Roman" w:eastAsia="宋体" w:cs="Times New Roman"/>
      <w:szCs w:val="24"/>
    </w:rPr>
  </w:style>
  <w:style w:type="character" w:customStyle="1" w:styleId="99">
    <w:name w:val="批注框文本 Char1"/>
    <w:semiHidden/>
    <w:qFormat/>
    <w:uiPriority w:val="99"/>
    <w:rPr>
      <w:rFonts w:ascii="Times New Roman" w:hAnsi="Times New Roman" w:eastAsia="宋体" w:cs="Times New Roman"/>
      <w:sz w:val="18"/>
      <w:szCs w:val="18"/>
    </w:rPr>
  </w:style>
  <w:style w:type="character" w:customStyle="1" w:styleId="100">
    <w:name w:val="文档结构图 Char1"/>
    <w:semiHidden/>
    <w:qFormat/>
    <w:uiPriority w:val="99"/>
    <w:rPr>
      <w:rFonts w:ascii="宋体" w:hAnsi="Times New Roman"/>
      <w:kern w:val="2"/>
      <w:sz w:val="18"/>
      <w:szCs w:val="18"/>
    </w:rPr>
  </w:style>
  <w:style w:type="character" w:customStyle="1" w:styleId="101">
    <w:name w:val="标题 9 Char"/>
    <w:link w:val="13"/>
    <w:qFormat/>
    <w:uiPriority w:val="0"/>
    <w:rPr>
      <w:rFonts w:ascii="Arial" w:hAnsi="Arial" w:eastAsia="黑体"/>
      <w:kern w:val="2"/>
      <w:sz w:val="21"/>
      <w:szCs w:val="24"/>
    </w:rPr>
  </w:style>
  <w:style w:type="character" w:customStyle="1" w:styleId="102">
    <w:name w:val="页脚 Char2"/>
    <w:semiHidden/>
    <w:qFormat/>
    <w:uiPriority w:val="99"/>
    <w:rPr>
      <w:rFonts w:ascii="Times New Roman" w:hAnsi="Times New Roman"/>
      <w:kern w:val="2"/>
      <w:sz w:val="18"/>
      <w:szCs w:val="18"/>
    </w:rPr>
  </w:style>
  <w:style w:type="character" w:customStyle="1" w:styleId="103">
    <w:name w:val="正文缩进 Char"/>
    <w:link w:val="11"/>
    <w:qFormat/>
    <w:uiPriority w:val="0"/>
    <w:rPr>
      <w:rFonts w:ascii="Times New Roman" w:hAnsi="Times New Roman"/>
      <w:kern w:val="2"/>
      <w:sz w:val="21"/>
    </w:rPr>
  </w:style>
  <w:style w:type="character" w:customStyle="1" w:styleId="104">
    <w:name w:val="HTML 预设格式 Char2"/>
    <w:semiHidden/>
    <w:qFormat/>
    <w:uiPriority w:val="99"/>
    <w:rPr>
      <w:rFonts w:ascii="Courier New" w:hAnsi="Courier New" w:cs="Courier New"/>
      <w:kern w:val="2"/>
    </w:rPr>
  </w:style>
  <w:style w:type="character" w:customStyle="1" w:styleId="105">
    <w:name w:val="纯文本 Char2"/>
    <w:semiHidden/>
    <w:qFormat/>
    <w:uiPriority w:val="99"/>
    <w:rPr>
      <w:rFonts w:ascii="宋体" w:hAnsi="Courier New" w:cs="Courier New"/>
      <w:kern w:val="2"/>
      <w:sz w:val="21"/>
      <w:szCs w:val="21"/>
    </w:rPr>
  </w:style>
  <w:style w:type="character" w:customStyle="1" w:styleId="106">
    <w:name w:val="正文文本 3 Char1"/>
    <w:semiHidden/>
    <w:qFormat/>
    <w:uiPriority w:val="99"/>
    <w:rPr>
      <w:rFonts w:ascii="Times New Roman" w:hAnsi="Times New Roman"/>
      <w:kern w:val="2"/>
      <w:sz w:val="16"/>
      <w:szCs w:val="16"/>
    </w:rPr>
  </w:style>
  <w:style w:type="character" w:customStyle="1" w:styleId="107">
    <w:name w:val="页眉 Char"/>
    <w:link w:val="28"/>
    <w:qFormat/>
    <w:uiPriority w:val="0"/>
    <w:rPr>
      <w:sz w:val="18"/>
      <w:szCs w:val="18"/>
    </w:rPr>
  </w:style>
  <w:style w:type="character" w:customStyle="1" w:styleId="108">
    <w:name w:val="批注文字 Char1"/>
    <w:semiHidden/>
    <w:qFormat/>
    <w:uiPriority w:val="99"/>
    <w:rPr>
      <w:rFonts w:ascii="Times New Roman" w:hAnsi="Times New Roman"/>
      <w:kern w:val="2"/>
      <w:sz w:val="21"/>
      <w:szCs w:val="24"/>
    </w:rPr>
  </w:style>
  <w:style w:type="character" w:customStyle="1" w:styleId="109">
    <w:name w:val="标题 5 Char"/>
    <w:link w:val="8"/>
    <w:qFormat/>
    <w:uiPriority w:val="0"/>
    <w:rPr>
      <w:rFonts w:eastAsia="宋体"/>
      <w:b/>
      <w:bCs/>
      <w:kern w:val="2"/>
      <w:sz w:val="28"/>
      <w:szCs w:val="28"/>
      <w:lang w:val="en-US" w:eastAsia="zh-CN" w:bidi="ar-SA"/>
    </w:rPr>
  </w:style>
  <w:style w:type="character" w:customStyle="1" w:styleId="110">
    <w:name w:val="表格标题2 Char"/>
    <w:link w:val="111"/>
    <w:qFormat/>
    <w:uiPriority w:val="0"/>
    <w:rPr>
      <w:rFonts w:ascii="Arial" w:hAnsi="Arial" w:eastAsia="微软雅黑"/>
      <w:b/>
      <w:bCs/>
      <w:kern w:val="2"/>
      <w:sz w:val="21"/>
      <w:szCs w:val="24"/>
    </w:rPr>
  </w:style>
  <w:style w:type="paragraph" w:customStyle="1" w:styleId="111">
    <w:name w:val="表格标题2"/>
    <w:basedOn w:val="9"/>
    <w:link w:val="110"/>
    <w:qFormat/>
    <w:uiPriority w:val="0"/>
    <w:pPr>
      <w:spacing w:before="0" w:after="0" w:line="240" w:lineRule="auto"/>
      <w:jc w:val="center"/>
    </w:pPr>
    <w:rPr>
      <w:rFonts w:ascii="Arial" w:hAnsi="Arial" w:eastAsia="微软雅黑"/>
      <w:sz w:val="21"/>
    </w:rPr>
  </w:style>
  <w:style w:type="character" w:customStyle="1" w:styleId="112">
    <w:name w:val="普通文字 Char Char2"/>
    <w:qFormat/>
    <w:uiPriority w:val="0"/>
    <w:rPr>
      <w:rFonts w:ascii="宋体" w:hAnsi="Courier New" w:eastAsia="宋体"/>
      <w:szCs w:val="21"/>
      <w:lang w:bidi="ar-SA"/>
    </w:rPr>
  </w:style>
  <w:style w:type="character" w:customStyle="1" w:styleId="113">
    <w:name w:val="批注框文本 Char"/>
    <w:link w:val="25"/>
    <w:semiHidden/>
    <w:qFormat/>
    <w:uiPriority w:val="0"/>
    <w:rPr>
      <w:rFonts w:ascii="Times New Roman" w:hAnsi="Times New Roman"/>
      <w:kern w:val="2"/>
      <w:sz w:val="18"/>
      <w:szCs w:val="18"/>
    </w:rPr>
  </w:style>
  <w:style w:type="character" w:customStyle="1" w:styleId="114">
    <w:name w:val="font21"/>
    <w:qFormat/>
    <w:uiPriority w:val="0"/>
    <w:rPr>
      <w:rFonts w:hint="eastAsia" w:ascii="宋体" w:hAnsi="宋体" w:eastAsia="宋体" w:cs="宋体"/>
      <w:color w:val="000000"/>
      <w:sz w:val="24"/>
      <w:szCs w:val="24"/>
      <w:u w:val="none"/>
    </w:rPr>
  </w:style>
  <w:style w:type="character" w:customStyle="1" w:styleId="115">
    <w:name w:val="HTML 预设格式 Char"/>
    <w:link w:val="35"/>
    <w:qFormat/>
    <w:uiPriority w:val="99"/>
    <w:rPr>
      <w:rFonts w:ascii="宋体" w:hAnsi="宋体" w:cs="宋体"/>
      <w:sz w:val="24"/>
      <w:szCs w:val="24"/>
    </w:rPr>
  </w:style>
  <w:style w:type="character" w:customStyle="1" w:styleId="116">
    <w:name w:val="页脚 Char"/>
    <w:link w:val="26"/>
    <w:qFormat/>
    <w:uiPriority w:val="0"/>
    <w:rPr>
      <w:sz w:val="18"/>
      <w:szCs w:val="18"/>
    </w:rPr>
  </w:style>
  <w:style w:type="character" w:customStyle="1" w:styleId="117">
    <w:name w:val="明显引用 Char"/>
    <w:link w:val="118"/>
    <w:qFormat/>
    <w:uiPriority w:val="0"/>
    <w:rPr>
      <w:rFonts w:ascii="宋体" w:hAnsi="华文细黑"/>
      <w:bCs/>
      <w:iCs/>
      <w:color w:val="000000"/>
      <w:kern w:val="2"/>
      <w:sz w:val="21"/>
    </w:rPr>
  </w:style>
  <w:style w:type="paragraph" w:customStyle="1" w:styleId="118">
    <w:name w:val="明显引用1"/>
    <w:basedOn w:val="1"/>
    <w:next w:val="1"/>
    <w:link w:val="117"/>
    <w:qFormat/>
    <w:uiPriority w:val="0"/>
    <w:pPr>
      <w:spacing w:line="360" w:lineRule="auto"/>
      <w:jc w:val="center"/>
    </w:pPr>
    <w:rPr>
      <w:rFonts w:ascii="宋体" w:hAnsi="华文细黑"/>
      <w:bCs/>
      <w:iCs/>
      <w:color w:val="000000"/>
      <w:szCs w:val="20"/>
    </w:rPr>
  </w:style>
  <w:style w:type="character" w:customStyle="1" w:styleId="119">
    <w:name w:val="apple-style-span"/>
    <w:basedOn w:val="43"/>
    <w:qFormat/>
    <w:uiPriority w:val="0"/>
  </w:style>
  <w:style w:type="character" w:customStyle="1" w:styleId="120">
    <w:name w:val="Char Char2"/>
    <w:qFormat/>
    <w:locked/>
    <w:uiPriority w:val="0"/>
    <w:rPr>
      <w:rFonts w:ascii="宋体" w:hAnsi="宋体" w:eastAsia="宋体"/>
      <w:sz w:val="24"/>
      <w:szCs w:val="24"/>
      <w:lang w:bidi="ar-SA"/>
    </w:rPr>
  </w:style>
  <w:style w:type="character" w:customStyle="1" w:styleId="121">
    <w:name w:val="纯文本 Char"/>
    <w:link w:val="23"/>
    <w:qFormat/>
    <w:uiPriority w:val="0"/>
    <w:rPr>
      <w:rFonts w:ascii="宋体" w:hAnsi="Courier New" w:eastAsia="宋体" w:cs="Courier New"/>
      <w:szCs w:val="21"/>
    </w:rPr>
  </w:style>
  <w:style w:type="character" w:customStyle="1" w:styleId="122">
    <w:name w:val="font91"/>
    <w:qFormat/>
    <w:uiPriority w:val="0"/>
    <w:rPr>
      <w:rFonts w:hint="default" w:ascii="Times New Roman" w:hAnsi="Times New Roman" w:cs="Times New Roman"/>
      <w:color w:val="000000"/>
      <w:sz w:val="20"/>
      <w:szCs w:val="20"/>
      <w:u w:val="none"/>
    </w:rPr>
  </w:style>
  <w:style w:type="character" w:customStyle="1" w:styleId="123">
    <w:name w:val="Char Char16"/>
    <w:qFormat/>
    <w:locked/>
    <w:uiPriority w:val="0"/>
    <w:rPr>
      <w:rFonts w:ascii="Arial" w:hAnsi="Arial" w:eastAsia="黑体"/>
      <w:b/>
      <w:kern w:val="2"/>
      <w:sz w:val="24"/>
      <w:szCs w:val="24"/>
      <w:lang w:bidi="ar-SA"/>
    </w:rPr>
  </w:style>
  <w:style w:type="character" w:customStyle="1" w:styleId="124">
    <w:name w:val="正文文本缩进 2 Char2"/>
    <w:semiHidden/>
    <w:qFormat/>
    <w:uiPriority w:val="99"/>
    <w:rPr>
      <w:rFonts w:ascii="Times New Roman" w:hAnsi="Times New Roman"/>
      <w:kern w:val="2"/>
      <w:sz w:val="21"/>
      <w:szCs w:val="24"/>
    </w:rPr>
  </w:style>
  <w:style w:type="character" w:customStyle="1" w:styleId="125">
    <w:name w:val="A4"/>
    <w:qFormat/>
    <w:uiPriority w:val="0"/>
    <w:rPr>
      <w:rFonts w:ascii="新宋体" w:eastAsia="新宋体" w:cs="新宋体"/>
      <w:color w:val="000000"/>
      <w:lang w:bidi="ar-SA"/>
    </w:rPr>
  </w:style>
  <w:style w:type="character" w:customStyle="1" w:styleId="126">
    <w:name w:val="标题 2 Char"/>
    <w:link w:val="5"/>
    <w:qFormat/>
    <w:uiPriority w:val="0"/>
    <w:rPr>
      <w:rFonts w:ascii="Arial" w:hAnsi="Arial" w:eastAsia="黑体"/>
      <w:b/>
      <w:bCs/>
      <w:kern w:val="2"/>
      <w:sz w:val="32"/>
      <w:szCs w:val="32"/>
      <w:lang w:val="en-US" w:eastAsia="zh-CN" w:bidi="ar-SA"/>
    </w:rPr>
  </w:style>
  <w:style w:type="character" w:customStyle="1" w:styleId="127">
    <w:name w:val="正文文本 Char1"/>
    <w:semiHidden/>
    <w:qFormat/>
    <w:uiPriority w:val="99"/>
    <w:rPr>
      <w:rFonts w:ascii="Times New Roman" w:hAnsi="Times New Roman" w:eastAsia="宋体" w:cs="Times New Roman"/>
      <w:szCs w:val="24"/>
    </w:rPr>
  </w:style>
  <w:style w:type="character" w:customStyle="1" w:styleId="128">
    <w:name w:val="页脚 Char1"/>
    <w:semiHidden/>
    <w:qFormat/>
    <w:uiPriority w:val="99"/>
    <w:rPr>
      <w:rFonts w:ascii="Times New Roman" w:hAnsi="Times New Roman" w:eastAsia="宋体" w:cs="Times New Roman"/>
      <w:sz w:val="18"/>
      <w:szCs w:val="18"/>
    </w:rPr>
  </w:style>
  <w:style w:type="character" w:customStyle="1" w:styleId="129">
    <w:name w:val="正文文本 (2)_"/>
    <w:link w:val="130"/>
    <w:qFormat/>
    <w:uiPriority w:val="0"/>
    <w:rPr>
      <w:rFonts w:eastAsia="Times New Roman"/>
      <w:kern w:val="0"/>
      <w:sz w:val="20"/>
      <w:szCs w:val="20"/>
    </w:rPr>
  </w:style>
  <w:style w:type="paragraph" w:customStyle="1" w:styleId="130">
    <w:name w:val="正文文本 (2)"/>
    <w:basedOn w:val="1"/>
    <w:link w:val="129"/>
    <w:qFormat/>
    <w:uiPriority w:val="0"/>
    <w:pPr>
      <w:shd w:val="clear" w:color="auto" w:fill="FFFFFF"/>
      <w:spacing w:before="600" w:line="379" w:lineRule="exact"/>
      <w:jc w:val="distribute"/>
    </w:pPr>
    <w:rPr>
      <w:rFonts w:ascii="Calibri" w:hAnsi="Calibri" w:eastAsia="Times New Roman"/>
      <w:kern w:val="0"/>
      <w:sz w:val="20"/>
      <w:szCs w:val="20"/>
    </w:rPr>
  </w:style>
  <w:style w:type="character" w:customStyle="1" w:styleId="131">
    <w:name w:val="文档结构图 Char"/>
    <w:link w:val="16"/>
    <w:semiHidden/>
    <w:qFormat/>
    <w:uiPriority w:val="0"/>
    <w:rPr>
      <w:rFonts w:ascii="Times New Roman" w:hAnsi="Times New Roman"/>
      <w:kern w:val="2"/>
      <w:sz w:val="21"/>
      <w:szCs w:val="24"/>
      <w:shd w:val="clear" w:color="auto" w:fill="000080"/>
    </w:rPr>
  </w:style>
  <w:style w:type="character" w:customStyle="1" w:styleId="132">
    <w:name w:val="正文文本缩进 3 Char1"/>
    <w:semiHidden/>
    <w:qFormat/>
    <w:uiPriority w:val="99"/>
    <w:rPr>
      <w:rFonts w:ascii="Times New Roman" w:hAnsi="Times New Roman"/>
      <w:kern w:val="2"/>
      <w:sz w:val="16"/>
      <w:szCs w:val="16"/>
    </w:rPr>
  </w:style>
  <w:style w:type="character" w:customStyle="1" w:styleId="133">
    <w:name w:val="正文文本 3 Char"/>
    <w:link w:val="18"/>
    <w:qFormat/>
    <w:uiPriority w:val="0"/>
    <w:rPr>
      <w:rFonts w:ascii="Times New Roman" w:hAnsi="Times New Roman"/>
      <w:b/>
      <w:bCs/>
      <w:sz w:val="24"/>
      <w:szCs w:val="24"/>
    </w:rPr>
  </w:style>
  <w:style w:type="character" w:customStyle="1" w:styleId="134">
    <w:name w:val="批注主题 Char1"/>
    <w:semiHidden/>
    <w:qFormat/>
    <w:uiPriority w:val="99"/>
    <w:rPr>
      <w:rFonts w:ascii="Times New Roman" w:hAnsi="Times New Roman"/>
      <w:b/>
      <w:bCs/>
      <w:kern w:val="2"/>
      <w:sz w:val="21"/>
      <w:szCs w:val="24"/>
    </w:rPr>
  </w:style>
  <w:style w:type="character" w:customStyle="1" w:styleId="135">
    <w:name w:val="页眉 Char1"/>
    <w:semiHidden/>
    <w:qFormat/>
    <w:uiPriority w:val="99"/>
    <w:rPr>
      <w:rFonts w:ascii="Times New Roman" w:hAnsi="Times New Roman" w:eastAsia="宋体" w:cs="Times New Roman"/>
      <w:sz w:val="18"/>
      <w:szCs w:val="18"/>
    </w:rPr>
  </w:style>
  <w:style w:type="character" w:customStyle="1" w:styleId="136">
    <w:name w:val="font11"/>
    <w:qFormat/>
    <w:uiPriority w:val="0"/>
    <w:rPr>
      <w:rFonts w:hint="default" w:ascii="Times New Roman" w:hAnsi="Times New Roman" w:cs="Times New Roman"/>
      <w:color w:val="000000"/>
      <w:sz w:val="24"/>
      <w:szCs w:val="24"/>
      <w:u w:val="none"/>
    </w:rPr>
  </w:style>
  <w:style w:type="character" w:customStyle="1" w:styleId="137">
    <w:name w:val="Char Char3"/>
    <w:qFormat/>
    <w:locked/>
    <w:uiPriority w:val="0"/>
    <w:rPr>
      <w:rFonts w:ascii="宋体" w:hAnsi="宋体" w:eastAsia="宋体"/>
      <w:sz w:val="24"/>
      <w:szCs w:val="24"/>
      <w:lang w:bidi="ar-SA"/>
    </w:rPr>
  </w:style>
  <w:style w:type="character" w:customStyle="1" w:styleId="138">
    <w:name w:val="标题 8 Char"/>
    <w:link w:val="12"/>
    <w:qFormat/>
    <w:uiPriority w:val="0"/>
    <w:rPr>
      <w:rFonts w:ascii="Arial" w:hAnsi="Arial" w:eastAsia="黑体"/>
      <w:kern w:val="2"/>
      <w:sz w:val="24"/>
      <w:szCs w:val="24"/>
    </w:rPr>
  </w:style>
  <w:style w:type="character" w:customStyle="1" w:styleId="139">
    <w:name w:val="font31"/>
    <w:qFormat/>
    <w:uiPriority w:val="0"/>
    <w:rPr>
      <w:rFonts w:hint="default" w:ascii="Times New Roman" w:hAnsi="Times New Roman" w:cs="Times New Roman"/>
      <w:color w:val="000000"/>
      <w:sz w:val="24"/>
      <w:szCs w:val="24"/>
      <w:u w:val="none"/>
    </w:rPr>
  </w:style>
  <w:style w:type="character" w:customStyle="1" w:styleId="140">
    <w:name w:val="宏文本 Char1"/>
    <w:semiHidden/>
    <w:qFormat/>
    <w:uiPriority w:val="99"/>
    <w:rPr>
      <w:rFonts w:ascii="Courier New" w:hAnsi="Courier New" w:cs="Courier New"/>
      <w:kern w:val="2"/>
      <w:sz w:val="24"/>
      <w:szCs w:val="24"/>
    </w:rPr>
  </w:style>
  <w:style w:type="character" w:customStyle="1" w:styleId="141">
    <w:name w:val="普通文字 Char Char3"/>
    <w:qFormat/>
    <w:uiPriority w:val="0"/>
    <w:rPr>
      <w:rFonts w:ascii="宋体" w:hAnsi="Courier New" w:eastAsia="宋体" w:cs="Courier New"/>
      <w:szCs w:val="21"/>
    </w:rPr>
  </w:style>
  <w:style w:type="character" w:customStyle="1" w:styleId="142">
    <w:name w:val="Char Char13"/>
    <w:qFormat/>
    <w:locked/>
    <w:uiPriority w:val="0"/>
    <w:rPr>
      <w:rFonts w:ascii="Arial" w:hAnsi="Arial" w:eastAsia="黑体"/>
      <w:kern w:val="2"/>
      <w:sz w:val="21"/>
      <w:szCs w:val="24"/>
      <w:lang w:bidi="ar-SA"/>
    </w:rPr>
  </w:style>
  <w:style w:type="character" w:customStyle="1" w:styleId="143">
    <w:name w:val="font01"/>
    <w:qFormat/>
    <w:uiPriority w:val="0"/>
    <w:rPr>
      <w:rFonts w:hint="eastAsia" w:ascii="宋体" w:hAnsi="宋体" w:eastAsia="宋体" w:cs="宋体"/>
      <w:color w:val="000000"/>
      <w:sz w:val="24"/>
      <w:szCs w:val="24"/>
      <w:u w:val="none"/>
    </w:rPr>
  </w:style>
  <w:style w:type="character" w:customStyle="1" w:styleId="144">
    <w:name w:val="正文文本缩进 3 Char2"/>
    <w:semiHidden/>
    <w:qFormat/>
    <w:uiPriority w:val="99"/>
    <w:rPr>
      <w:rFonts w:ascii="Times New Roman" w:hAnsi="Times New Roman"/>
      <w:kern w:val="2"/>
      <w:sz w:val="16"/>
      <w:szCs w:val="16"/>
    </w:rPr>
  </w:style>
  <w:style w:type="character" w:customStyle="1" w:styleId="145">
    <w:name w:val="HTML 预设格式 Char1"/>
    <w:semiHidden/>
    <w:qFormat/>
    <w:uiPriority w:val="99"/>
    <w:rPr>
      <w:rFonts w:ascii="Courier New" w:hAnsi="Courier New" w:cs="Courier New"/>
      <w:kern w:val="2"/>
    </w:rPr>
  </w:style>
  <w:style w:type="character" w:customStyle="1" w:styleId="146">
    <w:name w:val="正文文本 2 Char"/>
    <w:link w:val="34"/>
    <w:qFormat/>
    <w:uiPriority w:val="0"/>
    <w:rPr>
      <w:rFonts w:ascii="Times New Roman" w:hAnsi="Times New Roman"/>
      <w:szCs w:val="24"/>
    </w:rPr>
  </w:style>
  <w:style w:type="paragraph" w:customStyle="1" w:styleId="147">
    <w:name w:val="List Paragraph1"/>
    <w:basedOn w:val="1"/>
    <w:qFormat/>
    <w:uiPriority w:val="0"/>
    <w:pPr>
      <w:ind w:firstLine="420" w:firstLineChars="200"/>
    </w:pPr>
  </w:style>
  <w:style w:type="paragraph" w:customStyle="1" w:styleId="148">
    <w:name w:val="Char"/>
    <w:basedOn w:val="1"/>
    <w:qFormat/>
    <w:uiPriority w:val="0"/>
  </w:style>
  <w:style w:type="paragraph" w:customStyle="1" w:styleId="149">
    <w:name w:val="xl65"/>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51">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152">
    <w:name w:val="Char1"/>
    <w:basedOn w:val="1"/>
    <w:qFormat/>
    <w:uiPriority w:val="0"/>
    <w:rPr>
      <w:szCs w:val="21"/>
    </w:rPr>
  </w:style>
  <w:style w:type="paragraph" w:customStyle="1" w:styleId="153">
    <w:name w:val="列出段落1"/>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154">
    <w:name w:val="列出段落11"/>
    <w:basedOn w:val="1"/>
    <w:qFormat/>
    <w:uiPriority w:val="0"/>
    <w:pPr>
      <w:ind w:firstLine="420" w:firstLineChars="200"/>
    </w:pPr>
  </w:style>
  <w:style w:type="paragraph" w:customStyle="1" w:styleId="155">
    <w:name w:val="Char Char Char Char"/>
    <w:basedOn w:val="1"/>
    <w:qFormat/>
    <w:uiPriority w:val="0"/>
  </w:style>
  <w:style w:type="paragraph" w:customStyle="1" w:styleId="156">
    <w:name w:val="三级条标题"/>
    <w:basedOn w:val="157"/>
    <w:next w:val="158"/>
    <w:qFormat/>
    <w:uiPriority w:val="0"/>
    <w:pPr>
      <w:outlineLvl w:val="4"/>
    </w:pPr>
  </w:style>
  <w:style w:type="paragraph" w:customStyle="1" w:styleId="157">
    <w:name w:val="二级条标题"/>
    <w:basedOn w:val="1"/>
    <w:next w:val="1"/>
    <w:qFormat/>
    <w:uiPriority w:val="0"/>
    <w:pPr>
      <w:widowControl/>
      <w:jc w:val="left"/>
      <w:outlineLvl w:val="3"/>
    </w:pPr>
    <w:rPr>
      <w:rFonts w:ascii="宋体" w:hAnsi="宋体"/>
      <w:color w:val="000000"/>
      <w:kern w:val="0"/>
      <w:szCs w:val="20"/>
    </w:rPr>
  </w:style>
  <w:style w:type="paragraph" w:customStyle="1" w:styleId="1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61">
    <w:name w:val="Char Char Char"/>
    <w:basedOn w:val="1"/>
    <w:qFormat/>
    <w:uiPriority w:val="0"/>
    <w:rPr>
      <w:rFonts w:ascii="Tahoma" w:hAnsi="Tahoma"/>
      <w:sz w:val="24"/>
      <w:szCs w:val="20"/>
    </w:rPr>
  </w:style>
  <w:style w:type="paragraph" w:customStyle="1" w:styleId="162">
    <w:name w:val="表格"/>
    <w:basedOn w:val="1"/>
    <w:qFormat/>
    <w:uiPriority w:val="0"/>
    <w:pPr>
      <w:spacing w:line="400" w:lineRule="exact"/>
    </w:pPr>
    <w:rPr>
      <w:sz w:val="24"/>
    </w:rPr>
  </w:style>
  <w:style w:type="paragraph" w:customStyle="1" w:styleId="163">
    <w:name w:val="纯文本1"/>
    <w:basedOn w:val="1"/>
    <w:qFormat/>
    <w:uiPriority w:val="0"/>
    <w:rPr>
      <w:rFonts w:ascii="宋体" w:hAnsi="Courier New" w:cs="Courier New"/>
      <w:kern w:val="0"/>
      <w:sz w:val="20"/>
      <w:szCs w:val="21"/>
    </w:rPr>
  </w:style>
  <w:style w:type="paragraph" w:customStyle="1" w:styleId="164">
    <w:name w:val="五级条标题"/>
    <w:basedOn w:val="165"/>
    <w:next w:val="158"/>
    <w:qFormat/>
    <w:uiPriority w:val="0"/>
    <w:pPr>
      <w:outlineLvl w:val="6"/>
    </w:pPr>
  </w:style>
  <w:style w:type="paragraph" w:customStyle="1" w:styleId="165">
    <w:name w:val="四级条标题"/>
    <w:basedOn w:val="156"/>
    <w:next w:val="158"/>
    <w:qFormat/>
    <w:uiPriority w:val="0"/>
    <w:pPr>
      <w:outlineLvl w:val="5"/>
    </w:pPr>
  </w:style>
  <w:style w:type="paragraph" w:customStyle="1" w:styleId="166">
    <w:name w:val="Char11"/>
    <w:basedOn w:val="1"/>
    <w:qFormat/>
    <w:uiPriority w:val="0"/>
    <w:rPr>
      <w:szCs w:val="21"/>
    </w:rPr>
  </w:style>
  <w:style w:type="paragraph" w:customStyle="1" w:styleId="167">
    <w:name w:val="默认段落字体 Para Char Char Char Char Char Char Char Char Char1 Char Char Char Char"/>
    <w:basedOn w:val="1"/>
    <w:qFormat/>
    <w:uiPriority w:val="0"/>
    <w:rPr>
      <w:rFonts w:ascii="Tahoma" w:hAnsi="Tahoma"/>
      <w:sz w:val="24"/>
      <w:szCs w:val="20"/>
    </w:rPr>
  </w:style>
  <w:style w:type="paragraph" w:customStyle="1" w:styleId="168">
    <w:name w:val="列出段落2"/>
    <w:basedOn w:val="1"/>
    <w:qFormat/>
    <w:uiPriority w:val="0"/>
    <w:pPr>
      <w:ind w:firstLine="420" w:firstLineChars="200"/>
    </w:pPr>
    <w:rPr>
      <w:rFonts w:ascii="Calibri" w:hAnsi="Calibri"/>
      <w:szCs w:val="22"/>
    </w:rPr>
  </w:style>
  <w:style w:type="paragraph" w:customStyle="1" w:styleId="169">
    <w:name w:val="样式 首行缩进:  2 字符"/>
    <w:basedOn w:val="1"/>
    <w:qFormat/>
    <w:uiPriority w:val="0"/>
    <w:pPr>
      <w:spacing w:line="400" w:lineRule="exact"/>
      <w:ind w:firstLine="200" w:firstLineChars="200"/>
    </w:pPr>
    <w:rPr>
      <w:rFonts w:cs="宋体"/>
      <w:sz w:val="24"/>
    </w:rPr>
  </w:style>
  <w:style w:type="paragraph" w:customStyle="1" w:styleId="170">
    <w:name w:val="1"/>
    <w:basedOn w:val="1"/>
    <w:next w:val="23"/>
    <w:qFormat/>
    <w:uiPriority w:val="0"/>
    <w:rPr>
      <w:rFonts w:ascii="宋体" w:hAnsi="Courier New"/>
      <w:szCs w:val="20"/>
    </w:rPr>
  </w:style>
  <w:style w:type="paragraph" w:customStyle="1" w:styleId="17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7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73">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kern w:val="0"/>
      <w:sz w:val="28"/>
      <w:szCs w:val="20"/>
    </w:rPr>
  </w:style>
  <w:style w:type="paragraph" w:customStyle="1" w:styleId="17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5">
    <w:name w:val="列出段落21"/>
    <w:basedOn w:val="1"/>
    <w:qFormat/>
    <w:uiPriority w:val="0"/>
    <w:pPr>
      <w:ind w:firstLine="420" w:firstLineChars="200"/>
    </w:pPr>
    <w:rPr>
      <w:rFonts w:ascii="Calibri" w:hAnsi="Calibri"/>
      <w:szCs w:val="22"/>
    </w:rPr>
  </w:style>
  <w:style w:type="paragraph" w:customStyle="1" w:styleId="176">
    <w:name w:val="_Style 62"/>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前言、引言标题"/>
    <w:next w:val="1"/>
    <w:qFormat/>
    <w:uiPriority w:val="0"/>
    <w:pPr>
      <w:shd w:val="clear" w:color="FFFFFF" w:fill="FFFFFF"/>
      <w:spacing w:before="640" w:after="560"/>
      <w:ind w:left="360" w:hanging="360"/>
      <w:jc w:val="center"/>
      <w:outlineLvl w:val="0"/>
    </w:pPr>
    <w:rPr>
      <w:rFonts w:ascii="黑体" w:hAnsi="Times New Roman" w:eastAsia="黑体" w:cs="Times New Roman"/>
      <w:sz w:val="32"/>
      <w:lang w:val="en-US" w:eastAsia="zh-CN" w:bidi="ar-SA"/>
    </w:rPr>
  </w:style>
  <w:style w:type="paragraph" w:customStyle="1" w:styleId="17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7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0">
    <w:name w:val="Char2"/>
    <w:basedOn w:val="1"/>
    <w:qFormat/>
    <w:uiPriority w:val="0"/>
  </w:style>
  <w:style w:type="paragraph" w:customStyle="1" w:styleId="181">
    <w:name w:val="Char12"/>
    <w:basedOn w:val="16"/>
    <w:qFormat/>
    <w:uiPriority w:val="0"/>
    <w:pPr>
      <w:widowControl/>
      <w:ind w:firstLine="454"/>
      <w:jc w:val="left"/>
    </w:pPr>
    <w:rPr>
      <w:rFonts w:ascii="Tahoma" w:hAnsi="Tahoma" w:cs="宋体"/>
      <w:kern w:val="0"/>
      <w:sz w:val="24"/>
      <w:szCs w:val="20"/>
    </w:rPr>
  </w:style>
  <w:style w:type="paragraph" w:customStyle="1" w:styleId="1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3">
    <w:name w:val="Char3"/>
    <w:basedOn w:val="1"/>
    <w:qFormat/>
    <w:uiPriority w:val="0"/>
  </w:style>
  <w:style w:type="paragraph" w:styleId="184">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85">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18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87">
    <w:name w:val="p0"/>
    <w:basedOn w:val="1"/>
    <w:autoRedefine/>
    <w:qFormat/>
    <w:uiPriority w:val="0"/>
    <w:pPr>
      <w:widowControl/>
    </w:pPr>
    <w:rPr>
      <w:kern w:val="0"/>
      <w:szCs w:val="21"/>
    </w:rPr>
  </w:style>
  <w:style w:type="paragraph" w:customStyle="1" w:styleId="188">
    <w:name w:val="正文段"/>
    <w:basedOn w:val="1"/>
    <w:qFormat/>
    <w:uiPriority w:val="0"/>
    <w:pPr>
      <w:widowControl/>
      <w:snapToGrid w:val="0"/>
      <w:spacing w:afterLines="50"/>
      <w:ind w:firstLine="200" w:firstLineChars="200"/>
    </w:pPr>
    <w:rPr>
      <w:kern w:val="0"/>
      <w:sz w:val="24"/>
      <w:szCs w:val="20"/>
    </w:rPr>
  </w:style>
  <w:style w:type="paragraph" w:customStyle="1" w:styleId="189">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0">
    <w:name w:val="xl7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1">
    <w:name w:val="xl7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2">
    <w:name w:val="xl66"/>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194">
    <w:name w:val="Char Char Char Char Char Char Char"/>
    <w:basedOn w:val="1"/>
    <w:qFormat/>
    <w:uiPriority w:val="0"/>
    <w:pPr>
      <w:tabs>
        <w:tab w:val="left" w:pos="432"/>
      </w:tabs>
      <w:ind w:left="432" w:hanging="432"/>
    </w:pPr>
    <w:rPr>
      <w:rFonts w:ascii="Tahoma" w:hAnsi="Tahoma"/>
      <w:sz w:val="24"/>
      <w:szCs w:val="20"/>
    </w:rPr>
  </w:style>
  <w:style w:type="paragraph" w:customStyle="1" w:styleId="19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6">
    <w:name w:val="一级条标题"/>
    <w:next w:val="158"/>
    <w:qFormat/>
    <w:uiPriority w:val="0"/>
    <w:pPr>
      <w:ind w:left="284"/>
      <w:outlineLvl w:val="2"/>
    </w:pPr>
    <w:rPr>
      <w:rFonts w:ascii="Times New Roman" w:hAnsi="Times New Roman" w:eastAsia="黑体" w:cs="Times New Roman"/>
      <w:sz w:val="21"/>
      <w:lang w:val="en-US" w:eastAsia="zh-CN" w:bidi="ar-SA"/>
    </w:rPr>
  </w:style>
  <w:style w:type="paragraph" w:customStyle="1" w:styleId="197">
    <w:name w:val="xl67"/>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98">
    <w:name w:val="Char Char Char Char2"/>
    <w:basedOn w:val="1"/>
    <w:qFormat/>
    <w:uiPriority w:val="0"/>
  </w:style>
  <w:style w:type="paragraph" w:customStyle="1" w:styleId="199">
    <w:name w:val="正文首行缩进两字符"/>
    <w:basedOn w:val="1"/>
    <w:qFormat/>
    <w:uiPriority w:val="0"/>
    <w:pPr>
      <w:spacing w:line="360" w:lineRule="auto"/>
      <w:ind w:firstLine="200" w:firstLineChars="200"/>
    </w:pPr>
  </w:style>
  <w:style w:type="paragraph" w:customStyle="1" w:styleId="200">
    <w:name w:val="无间隔1"/>
    <w:qFormat/>
    <w:uiPriority w:val="1"/>
    <w:pPr>
      <w:widowControl w:val="0"/>
      <w:jc w:val="both"/>
    </w:pPr>
    <w:rPr>
      <w:rFonts w:ascii="Calibri" w:hAnsi="Calibri" w:eastAsia="宋体" w:cs="Times New Roman"/>
      <w:kern w:val="2"/>
      <w:sz w:val="21"/>
      <w:szCs w:val="24"/>
      <w:lang w:val="en-US" w:eastAsia="zh-CN" w:bidi="ar-SA"/>
    </w:rPr>
  </w:style>
  <w:style w:type="paragraph" w:customStyle="1" w:styleId="201">
    <w:name w:val="Char Char Char Char Char Char Char1"/>
    <w:basedOn w:val="1"/>
    <w:qFormat/>
    <w:uiPriority w:val="0"/>
  </w:style>
  <w:style w:type="paragraph" w:customStyle="1" w:styleId="202">
    <w:name w:val="Char Char Char Char1"/>
    <w:basedOn w:val="1"/>
    <w:qFormat/>
    <w:uiPriority w:val="0"/>
  </w:style>
  <w:style w:type="paragraph" w:customStyle="1" w:styleId="203">
    <w:name w:val="xl11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Times" w:hAnsi="Times"/>
      <w:kern w:val="0"/>
      <w:sz w:val="20"/>
      <w:szCs w:val="20"/>
    </w:rPr>
  </w:style>
  <w:style w:type="paragraph" w:customStyle="1" w:styleId="204">
    <w:name w:val="Char Char Char1"/>
    <w:basedOn w:val="1"/>
    <w:qFormat/>
    <w:uiPriority w:val="0"/>
    <w:rPr>
      <w:rFonts w:ascii="Tahoma" w:hAnsi="Tahoma"/>
      <w:sz w:val="24"/>
      <w:szCs w:val="20"/>
    </w:rPr>
  </w:style>
  <w:style w:type="paragraph" w:customStyle="1" w:styleId="205">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06">
    <w:name w:val="样式3"/>
    <w:basedOn w:val="80"/>
    <w:qFormat/>
    <w:uiPriority w:val="0"/>
    <w:pPr>
      <w:spacing w:line="360" w:lineRule="auto"/>
      <w:ind w:left="900" w:firstLine="0" w:firstLineChars="0"/>
      <w:jc w:val="center"/>
    </w:pPr>
    <w:rPr>
      <w:rFonts w:ascii="宋体" w:hAnsi="宋体"/>
      <w:sz w:val="24"/>
      <w:szCs w:val="28"/>
      <w:lang w:val="zh-CN"/>
    </w:rPr>
  </w:style>
  <w:style w:type="paragraph" w:customStyle="1" w:styleId="207">
    <w:name w:val="Table Paragraph"/>
    <w:basedOn w:val="1"/>
    <w:qFormat/>
    <w:uiPriority w:val="1"/>
    <w:pPr>
      <w:ind w:left="100" w:right="-10"/>
      <w:jc w:val="left"/>
    </w:pPr>
    <w:rPr>
      <w:rFonts w:ascii="宋体" w:hAnsi="宋体" w:cs="宋体"/>
      <w:kern w:val="0"/>
      <w:sz w:val="22"/>
      <w:szCs w:val="22"/>
      <w:lang w:eastAsia="en-US"/>
    </w:rPr>
  </w:style>
  <w:style w:type="paragraph" w:customStyle="1" w:styleId="208">
    <w:name w:val="正文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character" w:customStyle="1" w:styleId="210">
    <w:name w:val="正文首行缩进 2 Char"/>
    <w:basedOn w:val="55"/>
    <w:link w:val="40"/>
    <w:qFormat/>
    <w:uiPriority w:val="0"/>
    <w:rPr>
      <w:rFonts w:ascii="Times New Roman" w:hAnsi="Times New Roman" w:eastAsia="仿宋_GB2312" w:cs="Times New Roman"/>
      <w:kern w:val="2"/>
      <w:sz w:val="21"/>
      <w:szCs w:val="24"/>
    </w:rPr>
  </w:style>
  <w:style w:type="paragraph" w:customStyle="1" w:styleId="211">
    <w:name w:val="引言二级条标题"/>
    <w:basedOn w:val="212"/>
    <w:next w:val="158"/>
    <w:qFormat/>
    <w:uiPriority w:val="0"/>
    <w:pPr>
      <w:ind w:left="0" w:firstLine="0"/>
    </w:pPr>
    <w:rPr>
      <w:rFonts w:eastAsia="宋体"/>
    </w:rPr>
  </w:style>
  <w:style w:type="paragraph" w:customStyle="1" w:styleId="212">
    <w:name w:val="引言一级条标题"/>
    <w:basedOn w:val="1"/>
    <w:next w:val="158"/>
    <w:qFormat/>
    <w:uiPriority w:val="0"/>
    <w:pPr>
      <w:widowControl/>
      <w:spacing w:before="100" w:beforeAutospacing="1" w:after="100" w:afterAutospacing="1"/>
      <w:ind w:left="900" w:hanging="900"/>
    </w:pPr>
    <w:rPr>
      <w:rFonts w:eastAsia="黑体"/>
      <w:b/>
      <w:bCs/>
    </w:rPr>
  </w:style>
  <w:style w:type="paragraph" w:customStyle="1" w:styleId="213">
    <w:name w:val="表格文字"/>
    <w:basedOn w:val="1"/>
    <w:autoRedefine/>
    <w:qFormat/>
    <w:uiPriority w:val="99"/>
    <w:pPr>
      <w:spacing w:before="25" w:after="25"/>
      <w:jc w:val="left"/>
    </w:pPr>
    <w:rPr>
      <w:bCs/>
      <w:spacing w:val="10"/>
      <w:kern w:val="0"/>
      <w:sz w:val="24"/>
    </w:rPr>
  </w:style>
  <w:style w:type="character" w:customStyle="1" w:styleId="214">
    <w:name w:val="font61"/>
    <w:basedOn w:val="43"/>
    <w:qFormat/>
    <w:uiPriority w:val="0"/>
    <w:rPr>
      <w:rFonts w:ascii="Arial" w:hAnsi="Arial" w:cs="Arial"/>
      <w:color w:val="000000"/>
      <w:sz w:val="20"/>
      <w:szCs w:val="20"/>
      <w:u w:val="none"/>
    </w:rPr>
  </w:style>
  <w:style w:type="paragraph" w:customStyle="1" w:styleId="215">
    <w:name w:val="Table Text"/>
    <w:basedOn w:val="1"/>
    <w:semiHidden/>
    <w:qFormat/>
    <w:uiPriority w:val="0"/>
    <w:rPr>
      <w:rFonts w:ascii="宋体" w:hAnsi="宋体" w:cs="宋体"/>
      <w:sz w:val="20"/>
      <w:szCs w:val="20"/>
      <w:lang w:eastAsia="en-US"/>
    </w:rPr>
  </w:style>
  <w:style w:type="table" w:customStyle="1" w:styleId="2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33064</Words>
  <Characters>34551</Characters>
  <Lines>645</Lines>
  <Paragraphs>181</Paragraphs>
  <TotalTime>54</TotalTime>
  <ScaleCrop>false</ScaleCrop>
  <LinksUpToDate>false</LinksUpToDate>
  <CharactersWithSpaces>34890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2025-04-17T09:59:00Z</dcterms:created>
  <dc:creator>广西智瀚</dc:creator>
  <cp:lastModifiedBy>张冬</cp:lastModifiedBy>
  <cp:lastPrinted>2025-06-03T09:58:00Z</cp:lastPrinted>
  <dcterms:modified xsi:type="dcterms:W3CDTF">2025-12-15T08:19:48Z</dcterms:modified>
  <dc:title>竞争性磋商文件规范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BD2D2514CCE545EBB7ACAA9312278B93_13</vt:lpwstr>
  </property>
  <property fmtid="{D5CDD505-2E9C-101B-9397-08002B2CF9AE}" pid="4" name="KSOTemplateDocerSaveRecord">
    <vt:lpwstr>eyJoZGlkIjoiNzU3YTg2MjlhNTgzYjFkNTMyODU0ZDVlYTQ2NWU4MDciLCJ1c2VySWQiOiI1NDY0ODI0ODkifQ==</vt:lpwstr>
  </property>
</Properties>
</file>