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r>
        <w:rPr>
          <w:rFonts w:hint="eastAsia"/>
          <w:lang w:eastAsia="zh-CN"/>
        </w:rPr>
        <w:drawing>
          <wp:anchor distT="0" distB="0" distL="114300" distR="114300" simplePos="0" relativeHeight="251673600" behindDoc="0" locked="0" layoutInCell="1" allowOverlap="1">
            <wp:simplePos x="0" y="0"/>
            <wp:positionH relativeFrom="column">
              <wp:posOffset>-762000</wp:posOffset>
            </wp:positionH>
            <wp:positionV relativeFrom="paragraph">
              <wp:posOffset>-680720</wp:posOffset>
            </wp:positionV>
            <wp:extent cx="7548880" cy="10680700"/>
            <wp:effectExtent l="0" t="0" r="13970" b="6350"/>
            <wp:wrapNone/>
            <wp:docPr id="2" name="图片 2" descr="2a1f7ef2d3ef3d9d1cf211325f6b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a1f7ef2d3ef3d9d1cf211325f6b5a5"/>
                    <pic:cNvPicPr>
                      <a:picLocks noChangeAspect="1"/>
                    </pic:cNvPicPr>
                  </pic:nvPicPr>
                  <pic:blipFill>
                    <a:blip r:embed="rId17"/>
                    <a:stretch>
                      <a:fillRect/>
                    </a:stretch>
                  </pic:blipFill>
                  <pic:spPr>
                    <a:xfrm>
                      <a:off x="0" y="0"/>
                      <a:ext cx="7548880" cy="10680700"/>
                    </a:xfrm>
                    <a:prstGeom prst="rect">
                      <a:avLst/>
                    </a:prstGeom>
                  </pic:spPr>
                </pic:pic>
              </a:graphicData>
            </a:graphic>
          </wp:anchor>
        </w:drawing>
      </w:r>
    </w:p>
    <w:p>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广西德元工程项目管理有限责任公司</w:t>
      </w:r>
    </w:p>
    <w:p>
      <w:pPr>
        <w:pStyle w:val="19"/>
        <w:ind w:left="5250" w:firstLine="400"/>
        <w:rPr>
          <w:rFonts w:ascii="宋体" w:hAnsi="宋体" w:cs="宋体"/>
          <w:color w:val="auto"/>
          <w:szCs w:val="21"/>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69215</wp:posOffset>
                </wp:positionV>
                <wp:extent cx="5944235" cy="8255"/>
                <wp:effectExtent l="19050" t="19050" r="18415" b="29845"/>
                <wp:wrapNone/>
                <wp:docPr id="14"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flip:y;margin-left:-10.45pt;margin-top:5.45pt;height:0.65pt;width:468.05pt;z-index:251670528;mso-width-relative:page;mso-height-relative:page;" filled="f" stroked="t" coordsize="21600,21600" o:gfxdata="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eftHNcAAAAJAQAADwAAAAAAAAABACAAAAAiAAAAZHJzL2Rvd25yZXYueG1sUEsB&#10;AhQAFAAAAAgAh07iQDsIC5/2AQAA5wMAAA4AAAAAAAAAAQAgAAAAJg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pPr>
        <w:snapToGrid w:val="0"/>
        <w:jc w:val="center"/>
        <w:rPr>
          <w:rFonts w:ascii="宋体" w:hAnsi="宋体" w:cs="宋体"/>
          <w:b/>
          <w:color w:val="auto"/>
          <w:sz w:val="52"/>
          <w:szCs w:val="52"/>
          <w:highlight w:val="none"/>
        </w:rPr>
      </w:pPr>
    </w:p>
    <w:p>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竞争性磋商采购文件</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pPr>
        <w:jc w:val="center"/>
        <w:rPr>
          <w:rFonts w:ascii="宋体" w:hAnsi="宋体" w:cs="宋体"/>
          <w:b/>
          <w:color w:val="auto"/>
          <w:sz w:val="32"/>
          <w:szCs w:val="32"/>
          <w:highlight w:val="none"/>
        </w:rPr>
      </w:pPr>
      <w:r>
        <w:rPr>
          <w:rFonts w:hint="eastAsia" w:ascii="宋体" w:hAnsi="宋体" w:cs="宋体"/>
          <w:color w:val="auto"/>
          <w:highlight w:val="none"/>
        </w:rPr>
        <w:drawing>
          <wp:anchor distT="0" distB="0" distL="114300" distR="114300" simplePos="0" relativeHeight="251672576" behindDoc="0" locked="0" layoutInCell="1" allowOverlap="1">
            <wp:simplePos x="0" y="0"/>
            <wp:positionH relativeFrom="column">
              <wp:posOffset>1981835</wp:posOffset>
            </wp:positionH>
            <wp:positionV relativeFrom="paragraph">
              <wp:posOffset>110490</wp:posOffset>
            </wp:positionV>
            <wp:extent cx="1991995" cy="2016760"/>
            <wp:effectExtent l="0" t="0" r="8255" b="2540"/>
            <wp:wrapSquare wrapText="bothSides"/>
            <wp:docPr id="1" name="图片 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公司logo"/>
                    <pic:cNvPicPr>
                      <a:picLocks noChangeAspect="1"/>
                    </pic:cNvPicPr>
                  </pic:nvPicPr>
                  <pic:blipFill>
                    <a:blip r:embed="rId18" cstate="print"/>
                    <a:stretch>
                      <a:fillRect/>
                    </a:stretch>
                  </pic:blipFill>
                  <pic:spPr>
                    <a:xfrm>
                      <a:off x="0" y="0"/>
                      <a:ext cx="1991995" cy="2016760"/>
                    </a:xfrm>
                    <a:prstGeom prst="rect">
                      <a:avLst/>
                    </a:prstGeom>
                    <a:noFill/>
                    <a:ln>
                      <a:noFill/>
                    </a:ln>
                  </pic:spPr>
                </pic:pic>
              </a:graphicData>
            </a:graphic>
          </wp:anchor>
        </w:drawing>
      </w: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r>
        <w:rPr>
          <w:rFonts w:hint="eastAsia" w:ascii="宋体" w:hAnsi="宋体" w:cs="宋体"/>
          <w:b/>
          <w:color w:val="auto"/>
          <w:sz w:val="32"/>
          <w:szCs w:val="32"/>
          <w:highlight w:val="none"/>
        </w:rPr>
        <w:t>项目名称：农情系统、自然灾害预警监控系统、农药数字监管平台、粮食功能区管理平台、协同办公系统运维、网络等保测评和商密应用安全评估服务、农产品价格监测预警系统运维及数据采集服务</w:t>
      </w:r>
    </w:p>
    <w:p>
      <w:pPr>
        <w:spacing w:line="360" w:lineRule="auto"/>
        <w:ind w:firstLine="964" w:firstLineChars="300"/>
        <w:rPr>
          <w:rFonts w:ascii="宋体" w:hAnsi="宋体" w:cs="宋体"/>
          <w:color w:val="auto"/>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GXZC2025-C3-001196-GXDY</w:t>
      </w:r>
      <w:r>
        <w:rPr>
          <w:rFonts w:hint="eastAsia" w:ascii="宋体" w:hAnsi="宋体" w:cs="宋体"/>
          <w:b/>
          <w:color w:val="auto"/>
          <w:sz w:val="32"/>
          <w:szCs w:val="32"/>
          <w:highlight w:val="none"/>
        </w:rPr>
        <w:t xml:space="preserve"> </w:t>
      </w:r>
    </w:p>
    <w:p>
      <w:pPr>
        <w:spacing w:line="360" w:lineRule="auto"/>
        <w:ind w:firstLine="890" w:firstLineChars="445"/>
        <w:rPr>
          <w:rFonts w:ascii="宋体" w:hAnsi="宋体" w:cs="宋体"/>
          <w:b/>
          <w:color w:val="auto"/>
          <w:sz w:val="32"/>
          <w:szCs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1552" behindDoc="0" locked="0" layoutInCell="1" allowOverlap="1">
                <wp:simplePos x="0" y="0"/>
                <wp:positionH relativeFrom="column">
                  <wp:posOffset>-160655</wp:posOffset>
                </wp:positionH>
                <wp:positionV relativeFrom="paragraph">
                  <wp:posOffset>167640</wp:posOffset>
                </wp:positionV>
                <wp:extent cx="5944235" cy="8255"/>
                <wp:effectExtent l="19050" t="19050" r="18415" b="29845"/>
                <wp:wrapNone/>
                <wp:docPr id="13" name="直接连接符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flip:y;margin-left:-12.65pt;margin-top:13.2pt;height:0.65pt;width:468.05pt;z-index:251671552;mso-width-relative:page;mso-height-relative:page;" filled="f" stroked="t" coordsize="21600,21600" o:gfxdata="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pJzQ2AAAAAkBAAAPAAAAAAAAAAEAIAAAACIAAABkcnMvZG93bnJldi54bWxQ&#10;SwECFAAUAAAACACHTuJAGi7LOfcBAADnAwAADgAAAAAAAAABACAAAAAnAQAAZHJzL2Uyb0RvYy54&#10;bWxQSwUGAAAAAAYABgBZAQAAkAUAAAAA&#10;">
                <v:fill on="f" focussize="0,0"/>
                <v:stroke weight="2.25pt" color="#000000" joinstyle="round"/>
                <v:imagedata o:title=""/>
                <o:lock v:ext="edit" aspectratio="f"/>
              </v:line>
            </w:pict>
          </mc:Fallback>
        </mc:AlternateContent>
      </w:r>
    </w:p>
    <w:p>
      <w:pPr>
        <w:spacing w:line="360" w:lineRule="auto"/>
        <w:ind w:firstLine="1430" w:firstLineChars="445"/>
        <w:rPr>
          <w:rFonts w:ascii="宋体" w:hAnsi="宋体" w:cs="宋体"/>
          <w:b/>
          <w:color w:val="auto"/>
          <w:sz w:val="32"/>
          <w:szCs w:val="32"/>
          <w:highlight w:val="none"/>
        </w:rPr>
      </w:pPr>
    </w:p>
    <w:p>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广西壮族自治区农业信息中心</w:t>
      </w:r>
    </w:p>
    <w:p>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pPr>
        <w:spacing w:line="360" w:lineRule="auto"/>
        <w:rPr>
          <w:rFonts w:ascii="宋体" w:hAnsi="宋体" w:cs="宋体"/>
          <w:b/>
          <w:color w:val="auto"/>
          <w:sz w:val="32"/>
          <w:szCs w:val="32"/>
          <w:highlight w:val="none"/>
        </w:rPr>
      </w:pPr>
    </w:p>
    <w:p>
      <w:pPr>
        <w:pStyle w:val="23"/>
        <w:snapToGrid w:val="0"/>
        <w:spacing w:before="120" w:after="120" w:line="440" w:lineRule="exact"/>
        <w:jc w:val="center"/>
        <w:rPr>
          <w:rFonts w:hAnsi="宋体" w:cs="宋体"/>
          <w:b/>
          <w:bCs/>
          <w:color w:val="auto"/>
          <w:w w:val="95"/>
          <w:sz w:val="32"/>
          <w:szCs w:val="32"/>
          <w:highlight w:val="none"/>
        </w:rPr>
      </w:pPr>
      <w:r>
        <w:rPr>
          <w:rFonts w:hint="eastAsia" w:hAnsi="宋体" w:cs="宋体"/>
          <w:b/>
          <w:color w:val="auto"/>
          <w:sz w:val="32"/>
          <w:szCs w:val="32"/>
          <w:highlight w:val="none"/>
        </w:rPr>
        <w:t>2025年</w:t>
      </w:r>
      <w:r>
        <w:rPr>
          <w:rFonts w:hint="eastAsia" w:hAnsi="宋体" w:cs="宋体"/>
          <w:b/>
          <w:color w:val="auto"/>
          <w:sz w:val="32"/>
          <w:szCs w:val="32"/>
          <w:highlight w:val="none"/>
          <w:lang w:val="en-US" w:eastAsia="zh-CN"/>
        </w:rPr>
        <w:t>5</w:t>
      </w:r>
      <w:r>
        <w:rPr>
          <w:rFonts w:hint="eastAsia" w:hAnsi="宋体" w:cs="宋体"/>
          <w:b/>
          <w:color w:val="auto"/>
          <w:sz w:val="32"/>
          <w:szCs w:val="32"/>
          <w:highlight w:val="none"/>
        </w:rPr>
        <w:t>月</w:t>
      </w:r>
    </w:p>
    <w:p>
      <w:pPr>
        <w:pStyle w:val="23"/>
        <w:snapToGrid w:val="0"/>
        <w:spacing w:before="120" w:after="120" w:line="440" w:lineRule="exact"/>
        <w:jc w:val="center"/>
        <w:rPr>
          <w:rFonts w:hAnsi="宋体" w:cs="宋体"/>
          <w:b/>
          <w:bCs/>
          <w:color w:val="auto"/>
          <w:w w:val="95"/>
          <w:sz w:val="32"/>
          <w:szCs w:val="32"/>
          <w:highlight w:val="none"/>
        </w:rPr>
      </w:pPr>
    </w:p>
    <w:p>
      <w:pPr>
        <w:spacing w:line="440" w:lineRule="exact"/>
        <w:jc w:val="center"/>
        <w:rPr>
          <w:rFonts w:ascii="宋体" w:hAnsi="宋体" w:cs="宋体"/>
          <w:color w:val="auto"/>
          <w:sz w:val="44"/>
          <w:szCs w:val="44"/>
          <w:highlight w:val="none"/>
        </w:rPr>
      </w:pPr>
    </w:p>
    <w:p>
      <w:pPr>
        <w:spacing w:line="440" w:lineRule="exact"/>
        <w:jc w:val="center"/>
        <w:rPr>
          <w:rFonts w:ascii="宋体" w:hAnsi="宋体" w:cs="宋体"/>
          <w:color w:val="auto"/>
          <w:sz w:val="44"/>
          <w:szCs w:val="44"/>
          <w:highlight w:val="none"/>
        </w:rPr>
      </w:pPr>
    </w:p>
    <w:p>
      <w:pPr>
        <w:spacing w:line="440" w:lineRule="exact"/>
        <w:jc w:val="center"/>
        <w:rPr>
          <w:rFonts w:ascii="宋体" w:hAnsi="宋体" w:cs="宋体"/>
          <w:color w:val="auto"/>
          <w:sz w:val="44"/>
          <w:szCs w:val="44"/>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pPr>
        <w:spacing w:line="440" w:lineRule="exact"/>
        <w:jc w:val="left"/>
        <w:rPr>
          <w:rFonts w:ascii="宋体" w:hAnsi="宋体" w:cs="宋体"/>
          <w:color w:val="auto"/>
          <w:sz w:val="32"/>
          <w:szCs w:val="32"/>
          <w:highlight w:val="none"/>
        </w:rPr>
      </w:pPr>
    </w:p>
    <w:p>
      <w:pPr>
        <w:pStyle w:val="29"/>
        <w:spacing w:line="440" w:lineRule="exact"/>
        <w:ind w:left="0" w:leftChars="0" w:firstLine="472" w:firstLineChars="147"/>
        <w:rPr>
          <w:rFonts w:cs="宋体"/>
          <w:b w:val="0"/>
          <w:bCs w:val="0"/>
          <w:caps w:val="0"/>
          <w:color w:val="auto"/>
          <w:sz w:val="21"/>
          <w:szCs w:val="22"/>
          <w:highlight w:val="none"/>
        </w:rPr>
      </w:pPr>
      <w:r>
        <w:rPr>
          <w:rFonts w:hint="eastAsia" w:cs="宋体"/>
          <w:color w:val="auto"/>
          <w:sz w:val="32"/>
          <w:szCs w:val="32"/>
          <w:highlight w:val="none"/>
        </w:rPr>
        <w:fldChar w:fldCharType="begin"/>
      </w:r>
      <w:r>
        <w:rPr>
          <w:rStyle w:val="48"/>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48"/>
          <w:rFonts w:hint="eastAsia" w:cs="宋体"/>
          <w:color w:val="auto"/>
          <w:highlight w:val="none"/>
        </w:rPr>
        <w:t>第一章竞争性磋商采购公告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_Toc88747291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48"/>
          <w:rFonts w:hint="eastAsia" w:cs="宋体"/>
          <w:color w:val="auto"/>
          <w:highlight w:val="none"/>
        </w:rPr>
        <w:t>第二章供应商须知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_Toc88747292 \h </w:instrText>
      </w:r>
      <w:r>
        <w:rPr>
          <w:rFonts w:hint="eastAsia" w:cs="宋体"/>
          <w:color w:val="auto"/>
          <w:highlight w:val="none"/>
        </w:rPr>
        <w:fldChar w:fldCharType="separate"/>
      </w:r>
      <w:r>
        <w:rPr>
          <w:rFonts w:hint="eastAsia" w:cs="宋体"/>
          <w:color w:val="auto"/>
          <w:highlight w:val="none"/>
        </w:rPr>
        <w:t>7</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48"/>
          <w:rFonts w:hint="eastAsia" w:cs="宋体"/>
          <w:color w:val="auto"/>
          <w:highlight w:val="none"/>
        </w:rPr>
        <w:t>第三章项目采购需求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_Toc88747293 \h </w:instrText>
      </w:r>
      <w:r>
        <w:rPr>
          <w:rFonts w:hint="eastAsia" w:cs="宋体"/>
          <w:color w:val="auto"/>
          <w:highlight w:val="none"/>
        </w:rPr>
        <w:fldChar w:fldCharType="separate"/>
      </w:r>
      <w:r>
        <w:rPr>
          <w:rFonts w:hint="eastAsia" w:cs="宋体"/>
          <w:color w:val="auto"/>
          <w:highlight w:val="none"/>
        </w:rPr>
        <w:t>33</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48"/>
          <w:rFonts w:hint="eastAsia" w:cs="宋体"/>
          <w:color w:val="auto"/>
          <w:highlight w:val="none"/>
        </w:rPr>
        <w:t>第四章响应文件格式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_Toc88747294 \h </w:instrText>
      </w:r>
      <w:r>
        <w:rPr>
          <w:rFonts w:hint="eastAsia" w:cs="宋体"/>
          <w:color w:val="auto"/>
          <w:highlight w:val="none"/>
        </w:rPr>
        <w:fldChar w:fldCharType="separate"/>
      </w:r>
      <w:r>
        <w:rPr>
          <w:rFonts w:hint="eastAsia" w:cs="宋体"/>
          <w:color w:val="auto"/>
          <w:highlight w:val="none"/>
        </w:rPr>
        <w:t>69</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48"/>
          <w:rFonts w:hint="eastAsia" w:cs="宋体"/>
          <w:color w:val="auto"/>
          <w:highlight w:val="none"/>
        </w:rPr>
        <w:t>第五章合同主要条款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_Toc88747295 \h </w:instrText>
      </w:r>
      <w:r>
        <w:rPr>
          <w:rFonts w:hint="eastAsia" w:cs="宋体"/>
          <w:color w:val="auto"/>
          <w:highlight w:val="none"/>
        </w:rPr>
        <w:fldChar w:fldCharType="separate"/>
      </w:r>
      <w:r>
        <w:rPr>
          <w:rFonts w:hint="eastAsia" w:cs="宋体"/>
          <w:color w:val="auto"/>
          <w:highlight w:val="none"/>
        </w:rPr>
        <w:t>95</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48"/>
          <w:rFonts w:hint="eastAsia" w:cs="宋体"/>
          <w:color w:val="auto"/>
          <w:highlight w:val="none"/>
        </w:rPr>
        <w:t>第六章评审方法和评审标准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_Toc88747296 \h </w:instrText>
      </w:r>
      <w:r>
        <w:rPr>
          <w:rFonts w:hint="eastAsia" w:cs="宋体"/>
          <w:color w:val="auto"/>
          <w:highlight w:val="none"/>
        </w:rPr>
        <w:fldChar w:fldCharType="separate"/>
      </w:r>
      <w:r>
        <w:rPr>
          <w:rFonts w:hint="eastAsia" w:cs="宋体"/>
          <w:color w:val="auto"/>
          <w:highlight w:val="none"/>
        </w:rPr>
        <w:t>100</w:t>
      </w:r>
      <w:r>
        <w:rPr>
          <w:rFonts w:hint="eastAsia" w:cs="宋体"/>
          <w:color w:val="auto"/>
          <w:highlight w:val="none"/>
        </w:rPr>
        <w:fldChar w:fldCharType="end"/>
      </w:r>
      <w:r>
        <w:rPr>
          <w:rFonts w:hint="eastAsia" w:cs="宋体"/>
          <w:color w:val="auto"/>
          <w:highlight w:val="none"/>
        </w:rPr>
        <w:fldChar w:fldCharType="end"/>
      </w:r>
    </w:p>
    <w:p>
      <w:pPr>
        <w:spacing w:line="440" w:lineRule="exact"/>
        <w:jc w:val="left"/>
        <w:rPr>
          <w:rStyle w:val="48"/>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pPr>
        <w:spacing w:line="440" w:lineRule="exact"/>
        <w:jc w:val="left"/>
        <w:rPr>
          <w:rFonts w:ascii="宋体" w:hAnsi="宋体" w:cs="宋体"/>
          <w:color w:val="auto"/>
          <w:sz w:val="32"/>
          <w:szCs w:val="32"/>
          <w:highlight w:val="none"/>
        </w:rPr>
      </w:pPr>
    </w:p>
    <w:p>
      <w:pPr>
        <w:pStyle w:val="4"/>
        <w:spacing w:line="440" w:lineRule="exact"/>
        <w:jc w:val="center"/>
        <w:rPr>
          <w:rFonts w:ascii="宋体" w:hAnsi="宋体" w:cs="宋体"/>
          <w:color w:val="auto"/>
          <w:sz w:val="32"/>
          <w:szCs w:val="32"/>
          <w:highlight w:val="none"/>
        </w:rPr>
        <w:sectPr>
          <w:headerReference r:id="rId3" w:type="default"/>
          <w:pgSz w:w="11906" w:h="16838"/>
          <w:pgMar w:top="1134" w:right="1247" w:bottom="1134" w:left="1247" w:header="851" w:footer="992" w:gutter="0"/>
          <w:cols w:space="720" w:num="1"/>
          <w:docGrid w:linePitch="312" w:charSpace="0"/>
        </w:sectPr>
      </w:pPr>
      <w:bookmarkStart w:id="0" w:name="_Toc88747291"/>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第一章 竞争性磋商采购公告</w:t>
      </w:r>
      <w:bookmarkEnd w:id="0"/>
    </w:p>
    <w:p>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项目概况：</w:t>
      </w:r>
    </w:p>
    <w:p>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u w:val="single"/>
        </w:rPr>
        <w:t>农情系统、自然灾害预警监控系统、农药数字监管平台、粮食功能区管理平台、协同办公系统运维、网络等保测评和商密应用安全评估服务、农产品价格监测预警系统运维及数据采集服务</w:t>
      </w:r>
      <w:r>
        <w:rPr>
          <w:rFonts w:hint="eastAsia" w:ascii="宋体" w:hAnsi="宋体" w:cs="宋体"/>
          <w:color w:val="auto"/>
          <w:sz w:val="21"/>
          <w:szCs w:val="21"/>
          <w:highlight w:val="none"/>
        </w:rPr>
        <w:t>采购项目的潜在供应商应在广西政府采购云平台获取线上获取采购文件，并于</w:t>
      </w:r>
      <w:r>
        <w:rPr>
          <w:rFonts w:hint="eastAsia" w:ascii="宋体" w:hAnsi="宋体" w:cs="宋体"/>
          <w:color w:val="auto"/>
          <w:sz w:val="21"/>
          <w:szCs w:val="21"/>
          <w:highlight w:val="none"/>
          <w:u w:val="single"/>
        </w:rPr>
        <w:t>2025</w:t>
      </w:r>
      <w:r>
        <w:rPr>
          <w:rFonts w:hint="eastAsia" w:ascii="宋体" w:hAnsi="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05</w:t>
      </w:r>
      <w:r>
        <w:rPr>
          <w:rFonts w:hint="eastAsia" w:ascii="宋体" w:hAnsi="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27</w:t>
      </w:r>
      <w:r>
        <w:rPr>
          <w:rFonts w:hint="eastAsia" w:ascii="宋体" w:hAnsi="宋体" w:cs="宋体"/>
          <w:bCs/>
          <w:color w:val="auto"/>
          <w:sz w:val="21"/>
          <w:szCs w:val="21"/>
          <w:highlight w:val="none"/>
          <w:u w:val="single"/>
        </w:rPr>
        <w:t>日09：30（</w:t>
      </w:r>
      <w:r>
        <w:rPr>
          <w:rFonts w:hint="eastAsia" w:ascii="宋体" w:hAnsi="宋体" w:cs="宋体"/>
          <w:bCs/>
          <w:color w:val="auto"/>
          <w:sz w:val="21"/>
          <w:szCs w:val="21"/>
          <w:highlight w:val="none"/>
        </w:rPr>
        <w:t>北京时间）前提交响应文件</w:t>
      </w:r>
      <w:r>
        <w:rPr>
          <w:rFonts w:hint="eastAsia" w:ascii="宋体" w:hAnsi="宋体" w:cs="宋体"/>
          <w:color w:val="auto"/>
          <w:sz w:val="21"/>
          <w:szCs w:val="21"/>
          <w:highlight w:val="none"/>
        </w:rPr>
        <w:t>。</w:t>
      </w:r>
      <w:bookmarkStart w:id="1" w:name="_Toc35393621"/>
      <w:bookmarkStart w:id="2" w:name="_Toc28359002"/>
      <w:bookmarkStart w:id="3" w:name="_Toc35393790"/>
      <w:bookmarkStart w:id="4" w:name="_Toc28359079"/>
      <w:bookmarkStart w:id="5" w:name="_Hlk24379207"/>
    </w:p>
    <w:p>
      <w:pPr>
        <w:pStyle w:val="188"/>
        <w:widowControl w:val="0"/>
        <w:spacing w:after="120" w:line="440" w:lineRule="exact"/>
        <w:ind w:firstLine="422"/>
        <w:rPr>
          <w:rFonts w:ascii="宋体" w:hAnsi="宋体" w:cs="宋体"/>
          <w:color w:val="auto"/>
          <w:sz w:val="21"/>
          <w:szCs w:val="21"/>
          <w:highlight w:val="none"/>
        </w:rPr>
      </w:pPr>
      <w:r>
        <w:rPr>
          <w:rFonts w:hint="eastAsia" w:ascii="宋体" w:hAnsi="宋体" w:cs="宋体"/>
          <w:b/>
          <w:color w:val="auto"/>
          <w:sz w:val="21"/>
          <w:szCs w:val="21"/>
          <w:highlight w:val="none"/>
        </w:rPr>
        <w:t>一、项目基本情况</w:t>
      </w:r>
      <w:bookmarkEnd w:id="1"/>
      <w:bookmarkEnd w:id="2"/>
      <w:bookmarkEnd w:id="3"/>
      <w:bookmarkEnd w:id="4"/>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GXZC2025-C3-001196-GXDY</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项目名称：农情系统、自然灾害预警监控系统、农药数字监管平台、粮食功能区管理平台、协同办公系统运维、网络等保测评和商密应用安全评估服务、农产品价格监测预警系统运维及数据采集服务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bookmarkEnd w:id="5"/>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预算总金额（元）：1263700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pPr>
        <w:spacing w:line="440" w:lineRule="exact"/>
        <w:ind w:firstLine="420" w:firstLineChars="200"/>
        <w:rPr>
          <w:rFonts w:ascii="宋体" w:hAnsi="宋体" w:cs="宋体"/>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标项一</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标项名称：广西农药数字监管平台运维服务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简要规格描述或项目基本概况介绍、用途：广西农药数字监管平台运维服务项目一项，具体详见项目采购需求。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合同履约期限：自合同签订之日起1年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标项名称：广西农业农村厅协同办公系统平台运维服务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预算金额（元）：99300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简要规格描述或项目基本概况介绍、用途：广西农业农村厅协同办公系统平台运维服务一项，具体详见项目采购需求。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最高限价（如有）：99300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合同履约期限：自合同签订之日起一年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bCs/>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标项名称：广西农产品产销价格监测预警系统运维及数据采集服务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预算金额（元）：638800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简要规格描述或项目基本概况介绍、用途：广西农产品产销价格监测预警系统运维及数据采集服务项目一项，具体详见项目采购需求。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最高限价（如有）：638800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月28日—2026年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月27日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标项四</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bookmarkStart w:id="6" w:name="OLE_LINK3"/>
      <w:r>
        <w:rPr>
          <w:rFonts w:hint="eastAsia" w:ascii="宋体" w:hAnsi="宋体" w:cs="宋体"/>
          <w:color w:val="auto"/>
          <w:szCs w:val="21"/>
          <w:highlight w:val="none"/>
        </w:rPr>
        <w:t>广西农情信息管理系统运维服务</w:t>
      </w:r>
      <w:bookmarkEnd w:id="6"/>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预算金额（元）：118900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简要规格描述或项目基本概况介绍、用途：广西农情信息管理系统运维服务项目一项，具体详见项目采购需求。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最高限价（如有）：118900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合同履约期限：2025年7月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bCs/>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标项五</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标项名称：广西农业自然灾害预警监控系统运维服务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预算金额（元）：98900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简要规格描述或项目基本概况介绍、用途：广西农业自然灾害预警监控系统运维服务项目一项，具体详见项目采购需求。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最高限价（如有）：98900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粮食生产功能区管理平台运维服务（2025年度）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粮食生产功能区管理平台运维服务（2025年度）一项，具体详见项目采购需求。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zh-CN"/>
        </w:rPr>
        <w:t>自合同签订之日起一年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标项七</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标项名称：网络安全等级保护测评和商用密码应用安全性评估服务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预算金额（元）：140000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简要规格描述或项目基本概况介绍、用途：网络安全等级保护测评和商用密码应用安全性评估服务一项，具体详见项目采购需求。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最高限价（如有）：140000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合同履约期限：自接到采购人进场通知之日起50个工作日内完成广西农村土地承包经营权确权登记管理信息系统自治区级平台网络安全等级保护测评和商用密码应用安全性评估工作，并出具相应的报告</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二、申请人的资格要求：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标项二</w:t>
      </w:r>
      <w:bookmarkStart w:id="7" w:name="OLE_LINK5"/>
      <w:r>
        <w:rPr>
          <w:rFonts w:hint="eastAsia" w:ascii="宋体" w:hAnsi="宋体" w:cs="宋体"/>
          <w:b/>
          <w:bCs/>
          <w:color w:val="auto"/>
          <w:szCs w:val="21"/>
          <w:highlight w:val="none"/>
          <w:lang w:eastAsia="zh-CN"/>
        </w:rPr>
        <w:t>、标项三、标项五</w:t>
      </w:r>
      <w:bookmarkEnd w:id="7"/>
      <w:r>
        <w:rPr>
          <w:rFonts w:hint="eastAsia" w:ascii="宋体" w:hAnsi="宋体" w:cs="宋体"/>
          <w:color w:val="auto"/>
          <w:szCs w:val="21"/>
          <w:highlight w:val="none"/>
        </w:rPr>
        <w:t>为专门面向小微企业采购的项目（供应商应为小微企业、监狱企业、残疾人福利性单位），</w:t>
      </w:r>
      <w:r>
        <w:rPr>
          <w:rFonts w:hint="eastAsia" w:ascii="宋体" w:hAnsi="宋体" w:cs="宋体"/>
          <w:b/>
          <w:bCs/>
          <w:color w:val="auto"/>
          <w:szCs w:val="21"/>
          <w:highlight w:val="none"/>
        </w:rPr>
        <w:t>标项七</w:t>
      </w:r>
      <w:r>
        <w:rPr>
          <w:rFonts w:hint="eastAsia" w:ascii="宋体" w:hAnsi="宋体" w:cs="宋体"/>
          <w:color w:val="auto"/>
          <w:szCs w:val="21"/>
          <w:highlight w:val="none"/>
        </w:rPr>
        <w:t>为专门面向中小企业采购的项目（供应商应为中小微企业、监狱企业、残疾人福利性单位），</w:t>
      </w:r>
      <w:r>
        <w:rPr>
          <w:rFonts w:hint="eastAsia" w:ascii="宋体" w:hAnsi="宋体" w:cs="宋体"/>
          <w:b/>
          <w:bCs/>
          <w:color w:val="auto"/>
          <w:szCs w:val="21"/>
          <w:highlight w:val="none"/>
        </w:rPr>
        <w:t>标项一、标项四、标项六</w:t>
      </w:r>
      <w:r>
        <w:rPr>
          <w:rFonts w:hint="eastAsia" w:ascii="宋体" w:hAnsi="宋体" w:cs="宋体"/>
          <w:color w:val="auto"/>
          <w:szCs w:val="21"/>
          <w:highlight w:val="none"/>
        </w:rPr>
        <w:t>无要求；</w:t>
      </w:r>
    </w:p>
    <w:p>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rPr>
        <w:t>标项七</w:t>
      </w:r>
      <w:r>
        <w:rPr>
          <w:rFonts w:hint="eastAsia" w:ascii="宋体" w:hAnsi="宋体" w:cs="宋体"/>
          <w:color w:val="auto"/>
          <w:szCs w:val="21"/>
          <w:highlight w:val="none"/>
        </w:rPr>
        <w:t>供应商必须具备公安部第三研究所颁发的《网络安全服务认证证书等级保护测评服务认证》，且必须具备国家密码管理局颁发的《商用密码检测机构资质证书》；</w:t>
      </w:r>
    </w:p>
    <w:p>
      <w:pPr>
        <w:spacing w:line="440" w:lineRule="exact"/>
        <w:ind w:firstLine="422" w:firstLineChars="200"/>
        <w:rPr>
          <w:rFonts w:ascii="宋体" w:hAnsi="宋体" w:cs="宋体"/>
          <w:iCs/>
          <w:color w:val="auto"/>
          <w:szCs w:val="21"/>
          <w:highlight w:val="none"/>
          <w:u w:val="single"/>
        </w:rPr>
      </w:pPr>
      <w:r>
        <w:rPr>
          <w:rFonts w:hint="eastAsia" w:ascii="宋体" w:hAnsi="宋体" w:cs="宋体"/>
          <w:b/>
          <w:color w:val="auto"/>
          <w:szCs w:val="21"/>
          <w:highlight w:val="none"/>
        </w:rPr>
        <w:t>三、获取采购文件</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日至2025年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23</w:t>
      </w:r>
      <w:r>
        <w:rPr>
          <w:rFonts w:hint="eastAsia" w:ascii="宋体" w:hAnsi="宋体" w:cs="宋体"/>
          <w:bCs/>
          <w:color w:val="auto"/>
          <w:szCs w:val="21"/>
          <w:highlight w:val="none"/>
        </w:rPr>
        <w:t>日，每天上午00:00至12:00，下午12:00至23:59（北京时间，法定节假日除外）</w:t>
      </w:r>
      <w:r>
        <w:rPr>
          <w:rFonts w:hint="eastAsia" w:ascii="宋体" w:hAnsi="宋体" w:cs="宋体"/>
          <w:color w:val="auto"/>
          <w:szCs w:val="21"/>
          <w:highlight w:val="none"/>
        </w:rPr>
        <w:t>。</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pPr>
        <w:wordWrap w:val="0"/>
        <w:spacing w:line="440" w:lineRule="exact"/>
        <w:ind w:firstLine="539"/>
        <w:rPr>
          <w:rFonts w:ascii="宋体" w:hAnsi="宋体" w:cs="宋体"/>
          <w:color w:val="auto"/>
          <w:szCs w:val="21"/>
          <w:highlight w:val="none"/>
        </w:rPr>
      </w:pPr>
      <w:r>
        <w:rPr>
          <w:rFonts w:hint="eastAsia" w:ascii="宋体" w:hAnsi="宋体" w:cs="宋体"/>
          <w:color w:val="auto"/>
          <w:szCs w:val="21"/>
          <w:highlight w:val="none"/>
        </w:rPr>
        <w:t xml:space="preserve">方式：网上下载。本项目不发放纸质文件，供应商登录广西政府采购云平台https://www.gcy.zfcg.gxzf.gov.cn/在线申请获取采购文件（进入“项目采购”应用，在获取采购文件菜单中选择项目，申请获取采购文件） </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售价（元）：0</w:t>
      </w:r>
    </w:p>
    <w:p>
      <w:pPr>
        <w:spacing w:line="440" w:lineRule="exact"/>
        <w:ind w:firstLine="540"/>
        <w:rPr>
          <w:rFonts w:ascii="宋体" w:hAnsi="宋体" w:cs="宋体"/>
          <w:color w:val="auto"/>
          <w:szCs w:val="21"/>
          <w:highlight w:val="none"/>
        </w:rPr>
      </w:pPr>
      <w:r>
        <w:rPr>
          <w:rFonts w:hint="eastAsia" w:ascii="宋体" w:hAnsi="宋体" w:cs="宋体"/>
          <w:b/>
          <w:color w:val="auto"/>
          <w:szCs w:val="21"/>
          <w:highlight w:val="none"/>
        </w:rPr>
        <w:t>四、响应文件提交</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截止时间：2025年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09:30（北京时间）</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地点（网址）：请登录广西政府采购云平台投标客户端投标。</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五、响应文件开启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开启时间：2025年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09:30（北京时间）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pPr>
        <w:spacing w:line="44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六、公告期限</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七、其他补充事宜</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1.本项目需要落实的政府采购政策：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（2）政府采购促进残疾人就业政策。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（3）政府采购支持监狱企业发展。</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（4）政府采购支持采用本国产品的政策。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（5）强制采购节能产品；优先采购节能产品、环境标志产品。</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4.公告发布媒介：</w:t>
      </w:r>
    </w:p>
    <w:p>
      <w:pPr>
        <w:pStyle w:val="23"/>
        <w:spacing w:line="440" w:lineRule="exact"/>
        <w:ind w:firstLine="400" w:firstLineChars="200"/>
        <w:rPr>
          <w:rFonts w:hAnsi="宋体" w:cs="宋体"/>
          <w:color w:val="auto"/>
          <w:sz w:val="21"/>
          <w:highlight w:val="none"/>
        </w:rPr>
      </w:pP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hAnsi="宋体" w:cs="宋体"/>
          <w:color w:val="auto"/>
          <w:sz w:val="21"/>
          <w:highlight w:val="none"/>
        </w:rPr>
        <w:t>http://www.ccgp.gov.cn（中国政府采购网）、http://zfcg.gxzf.gov.cn（广西壮族自治区政府采购网）</w:t>
      </w:r>
      <w:r>
        <w:rPr>
          <w:rFonts w:hint="eastAsia" w:hAnsi="宋体" w:cs="宋体"/>
          <w:color w:val="auto"/>
          <w:sz w:val="21"/>
          <w:highlight w:val="none"/>
        </w:rPr>
        <w:fldChar w:fldCharType="end"/>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5、广西政府采购云平台电子投标相关事宜：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八、对本次招标提出询问，请按以下方式联系。</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1.采购人信息</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广西壮族自治区农业信息中心</w:t>
      </w:r>
      <w:r>
        <w:rPr>
          <w:rFonts w:hint="eastAsia" w:ascii="宋体" w:hAnsi="宋体" w:cs="宋体"/>
          <w:color w:val="auto"/>
          <w:szCs w:val="21"/>
          <w:highlight w:val="none"/>
          <w:u w:val="single"/>
        </w:rPr>
        <w:t>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南宁市七星路135号</w:t>
      </w:r>
      <w:r>
        <w:rPr>
          <w:rFonts w:hint="eastAsia" w:ascii="宋体" w:hAnsi="宋体" w:cs="宋体"/>
          <w:color w:val="auto"/>
          <w:szCs w:val="21"/>
          <w:highlight w:val="none"/>
          <w:u w:val="single"/>
        </w:rPr>
        <w:t xml:space="preserve">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苏钰婷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0771-218</w:t>
      </w:r>
      <w:r>
        <w:rPr>
          <w:rFonts w:hint="eastAsia" w:ascii="宋体" w:hAnsi="宋体" w:cs="宋体"/>
          <w:color w:val="auto"/>
          <w:szCs w:val="21"/>
          <w:highlight w:val="none"/>
          <w:u w:val="single"/>
          <w:lang w:val="en-US" w:eastAsia="zh-CN"/>
        </w:rPr>
        <w:t>2852</w:t>
      </w:r>
      <w:r>
        <w:rPr>
          <w:rFonts w:hint="eastAsia" w:ascii="宋体" w:hAnsi="宋体" w:cs="宋体"/>
          <w:color w:val="auto"/>
          <w:szCs w:val="21"/>
          <w:highlight w:val="none"/>
          <w:u w:val="single"/>
        </w:rPr>
        <w:t xml:space="preserve">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广西德元工程项目管理有限责任公司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南宁市良庆区凯旋路15号绿地中心7号楼8楼　</w:t>
      </w:r>
    </w:p>
    <w:p>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　覃喜娟、黄清霞     </w:t>
      </w:r>
    </w:p>
    <w:p>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 xml:space="preserve">　0771-5084767       </w:t>
      </w:r>
      <w:bookmarkStart w:id="8" w:name="_Toc88747292"/>
    </w:p>
    <w:p>
      <w:pPr>
        <w:pStyle w:val="4"/>
        <w:spacing w:line="440" w:lineRule="exact"/>
        <w:jc w:val="center"/>
        <w:rPr>
          <w:rFonts w:ascii="宋体" w:hAnsi="宋体" w:cs="宋体"/>
          <w:color w:val="auto"/>
          <w:sz w:val="32"/>
          <w:szCs w:val="32"/>
          <w:highlight w:val="none"/>
        </w:rPr>
        <w:sectPr>
          <w:footerReference r:id="rId4" w:type="default"/>
          <w:pgSz w:w="11906" w:h="16838"/>
          <w:pgMar w:top="1134" w:right="1247" w:bottom="1134" w:left="1247" w:header="851" w:footer="992" w:gutter="0"/>
          <w:pgNumType w:start="1"/>
          <w:cols w:space="720" w:num="1"/>
          <w:docGrid w:linePitch="312" w:charSpace="0"/>
        </w:sectPr>
      </w:pPr>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8"/>
    </w:p>
    <w:tbl>
      <w:tblPr>
        <w:tblStyle w:val="41"/>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53" w:type="dxa"/>
            <w:gridSpan w:val="2"/>
          </w:tcPr>
          <w:p>
            <w:pPr>
              <w:spacing w:before="120" w:beforeLines="50" w:line="440" w:lineRule="exact"/>
              <w:ind w:right="140" w:firstLine="200"/>
              <w:jc w:val="center"/>
              <w:rPr>
                <w:rFonts w:ascii="宋体" w:hAnsi="宋体" w:cs="宋体"/>
                <w:color w:val="auto"/>
                <w:sz w:val="28"/>
                <w:szCs w:val="28"/>
                <w:highlight w:val="none"/>
              </w:rPr>
            </w:pPr>
            <w:r>
              <w:rPr>
                <w:rFonts w:hint="eastAsia" w:ascii="宋体" w:hAnsi="宋体" w:cs="宋体"/>
                <w:color w:val="auto"/>
                <w:sz w:val="28"/>
                <w:szCs w:val="28"/>
                <w:highlight w:val="none"/>
              </w:rPr>
              <w:t>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236" w:type="dxa"/>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项目名称：农情系统、自然灾害预警监控系统、农药数字监管平台、粮食功能区管理平台、协同办公系统运维、网络等保测评和商密应用安全评估服务、农产品价格监测预警系统运维及数据采集服务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标项二</w:t>
            </w:r>
            <w:r>
              <w:rPr>
                <w:rFonts w:hint="eastAsia" w:ascii="宋体" w:hAnsi="宋体" w:cs="宋体"/>
                <w:b/>
                <w:bCs/>
                <w:color w:val="auto"/>
                <w:szCs w:val="21"/>
                <w:highlight w:val="none"/>
                <w:lang w:eastAsia="zh-CN"/>
              </w:rPr>
              <w:t>、标项三、标项五</w:t>
            </w:r>
            <w:r>
              <w:rPr>
                <w:rFonts w:hint="eastAsia" w:ascii="宋体" w:hAnsi="宋体" w:cs="宋体"/>
                <w:color w:val="auto"/>
                <w:szCs w:val="21"/>
                <w:highlight w:val="none"/>
              </w:rPr>
              <w:t>为专门面向小微企业采购的项目（供应商应为小微企业、监狱企业、残疾人福利性单位），</w:t>
            </w:r>
            <w:r>
              <w:rPr>
                <w:rFonts w:hint="eastAsia" w:ascii="宋体" w:hAnsi="宋体" w:cs="宋体"/>
                <w:b/>
                <w:bCs/>
                <w:color w:val="auto"/>
                <w:szCs w:val="21"/>
                <w:highlight w:val="none"/>
              </w:rPr>
              <w:t>标项七</w:t>
            </w:r>
            <w:r>
              <w:rPr>
                <w:rFonts w:hint="eastAsia" w:ascii="宋体" w:hAnsi="宋体" w:cs="宋体"/>
                <w:color w:val="auto"/>
                <w:szCs w:val="21"/>
                <w:highlight w:val="none"/>
              </w:rPr>
              <w:t>为专门面向中小企业采购的项目（供应商应为中小微企业、监狱企业、残疾人福利性单位），</w:t>
            </w:r>
            <w:r>
              <w:rPr>
                <w:rFonts w:hint="eastAsia" w:ascii="宋体" w:hAnsi="宋体" w:cs="宋体"/>
                <w:b/>
                <w:bCs/>
                <w:color w:val="auto"/>
                <w:szCs w:val="21"/>
                <w:highlight w:val="none"/>
              </w:rPr>
              <w:t>标项一、标项四、标项六</w:t>
            </w:r>
            <w:r>
              <w:rPr>
                <w:rFonts w:hint="eastAsia" w:ascii="宋体" w:hAnsi="宋体" w:cs="宋体"/>
                <w:color w:val="auto"/>
                <w:szCs w:val="21"/>
                <w:highlight w:val="none"/>
              </w:rPr>
              <w:t>无要求；</w:t>
            </w:r>
          </w:p>
          <w:p>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rPr>
              <w:t>标项七</w:t>
            </w:r>
            <w:r>
              <w:rPr>
                <w:rFonts w:hint="eastAsia" w:ascii="宋体" w:hAnsi="宋体" w:cs="宋体"/>
                <w:color w:val="auto"/>
                <w:szCs w:val="21"/>
                <w:highlight w:val="none"/>
              </w:rPr>
              <w:t>供应商必须具备公安部第三研究所颁发的《网络安全服务认证证书等级保护测评服务认证》，且必须具备国家密码管理局颁发的《商用密码检测机构资质证书》</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pStyle w:val="23"/>
              <w:spacing w:line="440" w:lineRule="exact"/>
              <w:ind w:firstLine="420" w:firstLineChars="200"/>
              <w:rPr>
                <w:rFonts w:hAnsi="宋体" w:cs="宋体"/>
                <w:color w:val="auto"/>
                <w:sz w:val="24"/>
                <w:szCs w:val="24"/>
                <w:highlight w:val="none"/>
              </w:rPr>
            </w:pPr>
            <w:r>
              <w:rPr>
                <w:rFonts w:hint="eastAsia" w:hAnsi="宋体" w:cs="宋体"/>
                <w:color w:val="auto"/>
                <w:sz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236" w:type="dxa"/>
            <w:vAlign w:val="center"/>
          </w:tcPr>
          <w:p>
            <w:pPr>
              <w:pStyle w:val="23"/>
              <w:spacing w:line="440" w:lineRule="exact"/>
              <w:rPr>
                <w:rFonts w:hAnsi="宋体" w:cs="宋体"/>
                <w:color w:val="auto"/>
                <w:sz w:val="21"/>
                <w:highlight w:val="none"/>
              </w:rPr>
            </w:pPr>
            <w:r>
              <w:rPr>
                <w:rFonts w:hint="eastAsia" w:hAnsi="宋体" w:cs="宋体"/>
                <w:color w:val="auto"/>
                <w:sz w:val="21"/>
                <w:highlight w:val="none"/>
              </w:rPr>
              <w:t xml:space="preserve">□本项目不收取磋商保证金。 </w:t>
            </w:r>
          </w:p>
          <w:p>
            <w:pPr>
              <w:pStyle w:val="23"/>
              <w:spacing w:line="440" w:lineRule="exact"/>
              <w:rPr>
                <w:rFonts w:hAnsi="宋体" w:cs="宋体"/>
                <w:color w:val="auto"/>
                <w:sz w:val="21"/>
                <w:highlight w:val="none"/>
              </w:rPr>
            </w:pPr>
            <w:r>
              <w:rPr>
                <w:rFonts w:hint="eastAsia" w:hAnsi="宋体" w:cs="宋体"/>
                <w:color w:val="auto"/>
                <w:sz w:val="21"/>
                <w:highlight w:val="none"/>
              </w:rPr>
              <w:t xml:space="preserve">☑本项目收取磋商保证金，具体规定如下： </w:t>
            </w:r>
          </w:p>
          <w:p>
            <w:pPr>
              <w:pStyle w:val="23"/>
              <w:spacing w:line="440" w:lineRule="exact"/>
              <w:rPr>
                <w:rFonts w:hAnsi="宋体" w:cs="宋体"/>
                <w:color w:val="auto"/>
                <w:highlight w:val="none"/>
              </w:rPr>
            </w:pPr>
            <w:r>
              <w:rPr>
                <w:rFonts w:hint="eastAsia" w:hAnsi="宋体" w:cs="宋体"/>
                <w:color w:val="auto"/>
                <w:sz w:val="21"/>
                <w:highlight w:val="none"/>
              </w:rPr>
              <w:t>磋商保证金：</w:t>
            </w:r>
            <w:r>
              <w:rPr>
                <w:rFonts w:hint="eastAsia" w:hAnsi="宋体" w:cs="宋体"/>
                <w:b/>
                <w:bCs/>
                <w:color w:val="auto"/>
                <w:sz w:val="21"/>
                <w:highlight w:val="none"/>
              </w:rPr>
              <w:t>标项一</w:t>
            </w:r>
            <w:r>
              <w:rPr>
                <w:rFonts w:hint="eastAsia" w:hAnsi="宋体" w:cs="宋体"/>
                <w:color w:val="auto"/>
                <w:sz w:val="21"/>
                <w:highlight w:val="none"/>
              </w:rPr>
              <w:t>人民币捌佰元整（￥800.00）</w:t>
            </w:r>
            <w:r>
              <w:rPr>
                <w:rStyle w:val="49"/>
                <w:rFonts w:hint="eastAsia" w:hAnsi="宋体" w:cs="宋体"/>
                <w:color w:val="auto"/>
                <w:highlight w:val="none"/>
              </w:rPr>
              <w:t>；</w:t>
            </w:r>
            <w:r>
              <w:rPr>
                <w:rFonts w:hint="eastAsia" w:hAnsi="宋体" w:cs="宋体"/>
                <w:b/>
                <w:bCs/>
                <w:color w:val="auto"/>
                <w:sz w:val="21"/>
                <w:highlight w:val="none"/>
              </w:rPr>
              <w:t>标项二</w:t>
            </w:r>
            <w:r>
              <w:rPr>
                <w:rFonts w:hint="eastAsia" w:hAnsi="宋体" w:cs="宋体"/>
                <w:color w:val="auto"/>
                <w:sz w:val="21"/>
                <w:highlight w:val="none"/>
              </w:rPr>
              <w:t>人民币玖佰元整（￥900.00）；</w:t>
            </w:r>
            <w:r>
              <w:rPr>
                <w:rFonts w:hint="eastAsia" w:hAnsi="宋体" w:cs="宋体"/>
                <w:b/>
                <w:bCs/>
                <w:color w:val="auto"/>
                <w:sz w:val="21"/>
                <w:highlight w:val="none"/>
              </w:rPr>
              <w:t>标项三</w:t>
            </w:r>
            <w:r>
              <w:rPr>
                <w:rFonts w:hint="eastAsia" w:hAnsi="宋体" w:cs="宋体"/>
                <w:color w:val="auto"/>
                <w:sz w:val="21"/>
                <w:highlight w:val="none"/>
              </w:rPr>
              <w:t>人民币陆仟元整（￥6000.00）；</w:t>
            </w:r>
            <w:r>
              <w:rPr>
                <w:rFonts w:hint="eastAsia" w:hAnsi="宋体" w:cs="宋体"/>
                <w:b/>
                <w:bCs/>
                <w:color w:val="auto"/>
                <w:sz w:val="21"/>
                <w:highlight w:val="none"/>
              </w:rPr>
              <w:t>标项四</w:t>
            </w:r>
            <w:r>
              <w:rPr>
                <w:rFonts w:hint="eastAsia" w:hAnsi="宋体" w:cs="宋体"/>
                <w:color w:val="auto"/>
                <w:sz w:val="21"/>
                <w:highlight w:val="none"/>
              </w:rPr>
              <w:t>人民币壹仟元整（￥1000.00）；</w:t>
            </w:r>
            <w:r>
              <w:rPr>
                <w:rFonts w:hint="eastAsia" w:hAnsi="宋体" w:cs="宋体"/>
                <w:b/>
                <w:bCs/>
                <w:color w:val="auto"/>
                <w:sz w:val="21"/>
                <w:highlight w:val="none"/>
              </w:rPr>
              <w:t>标项五</w:t>
            </w:r>
            <w:r>
              <w:rPr>
                <w:rFonts w:hint="eastAsia" w:hAnsi="宋体" w:cs="宋体"/>
                <w:color w:val="auto"/>
                <w:sz w:val="21"/>
                <w:highlight w:val="none"/>
              </w:rPr>
              <w:t>人民币玖佰元整（￥900.00）；</w:t>
            </w:r>
            <w:r>
              <w:rPr>
                <w:rFonts w:hint="eastAsia" w:hAnsi="宋体" w:cs="宋体"/>
                <w:b/>
                <w:bCs/>
                <w:color w:val="auto"/>
                <w:sz w:val="21"/>
                <w:highlight w:val="none"/>
              </w:rPr>
              <w:t>标项六</w:t>
            </w:r>
            <w:r>
              <w:rPr>
                <w:rFonts w:hint="eastAsia" w:hAnsi="宋体" w:cs="宋体"/>
                <w:color w:val="auto"/>
                <w:sz w:val="21"/>
                <w:highlight w:val="none"/>
              </w:rPr>
              <w:t>人民币捌佰元整（￥800.00）；</w:t>
            </w:r>
            <w:r>
              <w:rPr>
                <w:rFonts w:hint="eastAsia" w:hAnsi="宋体" w:cs="宋体"/>
                <w:b/>
                <w:bCs/>
                <w:color w:val="auto"/>
                <w:sz w:val="21"/>
                <w:highlight w:val="none"/>
              </w:rPr>
              <w:t>标项七</w:t>
            </w:r>
            <w:r>
              <w:rPr>
                <w:rFonts w:hint="eastAsia" w:hAnsi="宋体" w:cs="宋体"/>
                <w:color w:val="auto"/>
                <w:sz w:val="21"/>
                <w:highlight w:val="none"/>
              </w:rPr>
              <w:t>人民币壹仟元整（￥1000.00）。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现场考察或答疑会：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□组织。集中考察时间：，集中考察地点：，联系人：。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不组织。供应商自行考察现场。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是否需要演示：</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演示时间：，地点：。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236" w:type="dxa"/>
            <w:vAlign w:val="center"/>
          </w:tcPr>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联合体竞标：</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236" w:type="dxa"/>
            <w:vAlign w:val="center"/>
          </w:tcPr>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是否允许分包：</w:t>
            </w:r>
          </w:p>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☑不允许分包</w:t>
            </w:r>
          </w:p>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□允许分包</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分包内容：。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最高限价：详见竞争性磋商公告。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36" w:type="dxa"/>
            <w:vAlign w:val="center"/>
          </w:tcPr>
          <w:p>
            <w:pPr>
              <w:spacing w:line="440" w:lineRule="exact"/>
              <w:rPr>
                <w:rFonts w:ascii="宋体" w:hAnsi="宋体" w:cs="宋体"/>
                <w:color w:val="auto"/>
                <w:highlight w:val="none"/>
              </w:rPr>
            </w:pPr>
            <w:r>
              <w:rPr>
                <w:rFonts w:hint="eastAsia" w:ascii="宋体" w:hAnsi="宋体" w:cs="宋体"/>
                <w:color w:val="auto"/>
                <w:highlight w:val="none"/>
              </w:rPr>
              <w:t>竞标</w:t>
            </w:r>
            <w:r>
              <w:rPr>
                <w:rFonts w:hint="eastAsia" w:ascii="宋体" w:hAnsi="宋体" w:cs="宋体"/>
                <w:color w:val="auto"/>
                <w:szCs w:val="21"/>
                <w:highlight w:val="none"/>
              </w:rPr>
              <w:t>报价及费用：1、本项目竞标应以人民币报价；2、不论竞标结果如何，供应商均应自行承担所有与竞标有关的全部费用；3、代理服务费按</w:t>
            </w:r>
            <w:r>
              <w:rPr>
                <w:rFonts w:hint="eastAsia" w:ascii="宋体" w:hAnsi="宋体" w:cs="宋体"/>
                <w:color w:val="auto"/>
                <w:highlight w:val="none"/>
              </w:rPr>
              <w:t>以中标金额为计费额，按本须知正文第37.2条规定的标准（□货物招标/☑服务招标/□工程招标）采用差额定率累进法计算出收费基准价格，采购代理收费以（☑收费基准价格/□收费基准价格下浮</w:t>
            </w:r>
            <w:r>
              <w:rPr>
                <w:rFonts w:hint="eastAsia" w:ascii="宋体" w:hAnsi="宋体" w:cs="宋体"/>
                <w:color w:val="auto"/>
                <w:highlight w:val="none"/>
                <w:u w:val="single"/>
              </w:rPr>
              <w:t xml:space="preserve">  </w:t>
            </w:r>
            <w:r>
              <w:rPr>
                <w:rFonts w:hint="eastAsia" w:ascii="宋体" w:hAnsi="宋体" w:cs="宋体"/>
                <w:color w:val="auto"/>
                <w:highlight w:val="none"/>
              </w:rPr>
              <w:t>/□收费基准价格上浮</w:t>
            </w:r>
            <w:r>
              <w:rPr>
                <w:rFonts w:hint="eastAsia" w:ascii="宋体" w:hAnsi="宋体" w:cs="宋体"/>
                <w:color w:val="auto"/>
                <w:highlight w:val="none"/>
                <w:u w:val="single"/>
              </w:rPr>
              <w:t>%</w:t>
            </w:r>
            <w:r>
              <w:rPr>
                <w:rFonts w:hint="eastAsia" w:ascii="宋体" w:hAnsi="宋体" w:cs="宋体"/>
                <w:color w:val="auto"/>
                <w:highlight w:val="none"/>
              </w:rPr>
              <w:t>）收取。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提交响应文件截止时间：2025年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日09:30（北京时间）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投标地点（网址）：请登录广西政府采购云平台投标客户端投标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开标时间：2025年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开标地点：本次招标在广西政府采购云平台开标大厅电子开标大厅开标。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CA证书在线解密：供应商投标时，需携带制作响应文件时用来加密的有效数字证书（CA认证）登录广西政府采购云平台电子开标大厅现场按规定时间对加密的响应文件进行解密，否则后果自负。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首次响应文件开启时间</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日09:30（北京时间）开标后</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磋商时间及地点：</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日09:30截标后为与供应商磋商时间，具体时间由采购代理机构另行通知。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236" w:type="dxa"/>
            <w:vAlign w:val="center"/>
          </w:tcPr>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磋商的顺序：</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□按照提交首次响应文件的顺序</w:t>
            </w:r>
          </w:p>
          <w:p>
            <w:pPr>
              <w:autoSpaceDE w:val="0"/>
              <w:autoSpaceDN w:val="0"/>
              <w:adjustRightInd w:val="0"/>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☑随机排序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236" w:type="dxa"/>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szCs w:val="21"/>
                <w:highlight w:val="none"/>
              </w:rPr>
              <w:t>评标办法及评分标准：综合评分法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236" w:type="dxa"/>
            <w:vAlign w:val="center"/>
          </w:tcPr>
          <w:p>
            <w:pPr>
              <w:snapToGrid w:val="0"/>
              <w:spacing w:before="120" w:beforeLines="50" w:line="440" w:lineRule="exact"/>
              <w:rPr>
                <w:rFonts w:ascii="宋体" w:hAnsi="宋体" w:cs="宋体"/>
                <w:color w:val="auto"/>
                <w:sz w:val="24"/>
                <w:highlight w:val="none"/>
              </w:rPr>
            </w:pPr>
            <w:r>
              <w:rPr>
                <w:rFonts w:hint="eastAsia" w:ascii="宋体" w:hAnsi="宋体" w:cs="宋体"/>
                <w:color w:val="auto"/>
                <w:szCs w:val="21"/>
                <w:highlight w:val="none"/>
              </w:rPr>
              <w:t>成交公告及成交通知书：成交</w:t>
            </w:r>
            <w:r>
              <w:rPr>
                <w:rFonts w:hint="eastAsia" w:ascii="宋体" w:hAnsi="宋体" w:cs="宋体"/>
                <w:color w:val="auto"/>
                <w:highlight w:val="none"/>
              </w:rPr>
              <w:t>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236" w:type="dxa"/>
            <w:vAlign w:val="center"/>
          </w:tcPr>
          <w:p>
            <w:pPr>
              <w:snapToGrid w:val="0"/>
              <w:spacing w:line="440" w:lineRule="exact"/>
              <w:rPr>
                <w:rFonts w:ascii="宋体" w:hAnsi="宋体" w:cs="宋体"/>
                <w:color w:val="auto"/>
                <w:highlight w:val="none"/>
              </w:rPr>
            </w:pPr>
            <w:r>
              <w:rPr>
                <w:rFonts w:hint="eastAsia" w:ascii="宋体" w:hAnsi="宋体" w:cs="宋体"/>
                <w:color w:val="auto"/>
                <w:szCs w:val="21"/>
                <w:highlight w:val="none"/>
              </w:rPr>
              <w:t>签订合同时间：成交通知书发出之日起二十五日内。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szCs w:val="21"/>
                <w:highlight w:val="none"/>
              </w:rPr>
              <w:t>履约保证金：</w:t>
            </w:r>
            <w:r>
              <w:rPr>
                <w:rFonts w:hint="eastAsia" w:ascii="宋体" w:hAnsi="宋体" w:cs="宋体"/>
                <w:b/>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8236" w:type="dxa"/>
            <w:vAlign w:val="center"/>
          </w:tcPr>
          <w:p>
            <w:pPr>
              <w:snapToGrid w:val="0"/>
              <w:spacing w:line="440" w:lineRule="exact"/>
              <w:rPr>
                <w:rFonts w:ascii="宋体" w:hAnsi="宋体" w:cs="宋体"/>
                <w:color w:val="auto"/>
                <w:highlight w:val="none"/>
              </w:rPr>
            </w:pPr>
            <w:r>
              <w:rPr>
                <w:rFonts w:hint="eastAsia" w:ascii="宋体" w:hAnsi="宋体" w:cs="宋体"/>
                <w:color w:val="auto"/>
                <w:szCs w:val="21"/>
                <w:highlight w:val="none"/>
              </w:rPr>
              <w:t>响应文件有效期：提交首次响应文件截止之日起60天内。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236" w:type="dxa"/>
            <w:vAlign w:val="center"/>
          </w:tcPr>
          <w:p>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b/>
                <w:color w:val="auto"/>
                <w:highlight w:val="none"/>
              </w:rPr>
              <w:t>√</w:t>
            </w:r>
            <w:r>
              <w:rPr>
                <w:rFonts w:hint="eastAsia" w:ascii="宋体" w:hAnsi="宋体" w:cs="宋体"/>
                <w:color w:val="auto"/>
                <w:highlight w:val="none"/>
              </w:rPr>
              <w:t>预算资金、预算外资金、其他资金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236" w:type="dxa"/>
            <w:vAlign w:val="center"/>
          </w:tcPr>
          <w:p>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highlight w:val="none"/>
              </w:rPr>
              <w:t>国库集中支付或采购专户支付、</w:t>
            </w:r>
            <w:r>
              <w:rPr>
                <w:rFonts w:hint="eastAsia" w:ascii="宋体" w:hAnsi="宋体" w:cs="宋体"/>
                <w:b/>
                <w:color w:val="auto"/>
                <w:highlight w:val="none"/>
              </w:rPr>
              <w:t>√</w:t>
            </w:r>
            <w:r>
              <w:rPr>
                <w:rFonts w:hint="eastAsia" w:ascii="宋体" w:hAnsi="宋体" w:cs="宋体"/>
                <w:color w:val="auto"/>
                <w:highlight w:val="none"/>
              </w:rPr>
              <w:t>采购人自行支付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1、参与电子投标的准备工作：</w:t>
            </w:r>
          </w:p>
          <w:p>
            <w:pPr>
              <w:wordWrap w:val="0"/>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（4）供应商需要在具备有摄像头及语音功能且互联网网络状况良好的电脑登录“广西政府采购云平台”远程开标大厅参与本次磋商，否则后果自负。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电子响应文件的制作、加密：</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1、供应商制作电子响应文件前，应登陆广西政府采购云平台进行“申请获取采购文件”操作，否则，有可能导致无法在线编制响应文件并参与竞标，其不利后果由供应商自行承担。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PDF的格式上传。因响应文件字迹潦草、表达不清、内容不完整、编排混乱导致响应文件被误读、漏读，或者在按招标文件规定的部位查找不到相关内容的，其不利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5、供应商编制、生成电子响应文件后应当加密响应文件。供应商未按规定编制并加密的响应文件，广西政府采购云平台将予以拒收。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供应商公章及签字：</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2、本招标文件中要求供应商对其电子响应文件的相关内容加盖公章的，均指采用CA证书签章。</w:t>
            </w:r>
          </w:p>
          <w:p>
            <w:pPr>
              <w:pStyle w:val="208"/>
              <w:autoSpaceDE w:val="0"/>
              <w:autoSpaceDN w:val="0"/>
              <w:spacing w:line="440" w:lineRule="exact"/>
              <w:textAlignment w:val="bottom"/>
              <w:rPr>
                <w:rFonts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响应文件的解密：</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cs="宋体"/>
                <w:bCs/>
                <w:color w:val="auto"/>
                <w:highlight w:val="none"/>
              </w:rPr>
              <w:t>详见本章30.电子交易活动的中止</w:t>
            </w:r>
            <w:r>
              <w:rPr>
                <w:rFonts w:hint="eastAsia" w:ascii="宋体" w:hAnsi="宋体" w:cs="宋体"/>
                <w:color w:val="auto"/>
                <w:highlight w:val="none"/>
              </w:rPr>
              <w:t>。)</w:t>
            </w:r>
          </w:p>
        </w:tc>
      </w:tr>
    </w:tbl>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一、总则</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1.适用范围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1.1本竞争性磋商采购文件适用于本项目的竞争性磋商采购、竞争性磋商响应、评审、定标、验收、合同履约、付款等行为（法律、法规另有规定的，从其规定）。</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2.定义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2.2“采购代理机构”是指：广西德元工程项目管理有限责任公司。</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2.3“供应商”是</w:t>
      </w:r>
      <w:r>
        <w:rPr>
          <w:rFonts w:hint="eastAsia" w:ascii="宋体" w:hAnsi="宋体" w:cs="宋体"/>
          <w:color w:val="auto"/>
          <w:highlight w:val="none"/>
        </w:rPr>
        <w:t>指响应磋商文件、参加磋商竞争的法人、其他组织或者自然人</w:t>
      </w:r>
      <w:r>
        <w:rPr>
          <w:rFonts w:hint="eastAsia" w:ascii="宋体" w:hAnsi="宋体" w:cs="宋体"/>
          <w:color w:val="auto"/>
          <w:szCs w:val="21"/>
          <w:highlight w:val="none"/>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2.5“服务”</w:t>
      </w:r>
      <w:r>
        <w:rPr>
          <w:rFonts w:hint="eastAsia" w:ascii="宋体" w:hAnsi="宋体" w:cs="宋体"/>
          <w:color w:val="auto"/>
          <w:spacing w:val="-10"/>
          <w:szCs w:val="21"/>
          <w:highlight w:val="none"/>
        </w:rPr>
        <w:t>是</w:t>
      </w:r>
      <w:r>
        <w:rPr>
          <w:rFonts w:hint="eastAsia" w:ascii="宋体" w:hAnsi="宋体" w:cs="宋体"/>
          <w:color w:val="auto"/>
          <w:szCs w:val="21"/>
          <w:highlight w:val="none"/>
        </w:rPr>
        <w:t>指除货物和工程以外的其他政府采购对象。</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color w:val="auto"/>
          <w:highlight w:val="none"/>
        </w:rPr>
        <w:t>▲</w:t>
      </w:r>
      <w:r>
        <w:rPr>
          <w:rFonts w:hint="eastAsia" w:ascii="宋体" w:hAnsi="宋体" w:cs="宋体"/>
          <w:color w:val="auto"/>
          <w:szCs w:val="21"/>
          <w:highlight w:val="none"/>
        </w:rPr>
        <w:t>”是指实质性要求条款。</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2.11本磋商文件所称的“以上”“以下”“以内”“届满”，包括本数；所称的“不满”“超过”“以外”，不包括本数；如磋商文件另有特殊规定的从其规定。</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3.供应商的资格条件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3.1供应商资格：详见</w:t>
      </w:r>
      <w:bookmarkStart w:id="9" w:name="OLE_LINK23"/>
      <w:r>
        <w:rPr>
          <w:rFonts w:hint="eastAsia" w:ascii="宋体" w:hAnsi="宋体" w:cs="宋体"/>
          <w:color w:val="auto"/>
          <w:szCs w:val="21"/>
          <w:highlight w:val="none"/>
        </w:rPr>
        <w:t>供应商须知前附表</w:t>
      </w:r>
      <w:bookmarkEnd w:id="9"/>
      <w:r>
        <w:rPr>
          <w:rFonts w:hint="eastAsia" w:ascii="宋体" w:hAnsi="宋体" w:cs="宋体"/>
          <w:color w:val="auto"/>
          <w:szCs w:val="21"/>
          <w:highlight w:val="none"/>
        </w:rPr>
        <w:t>。</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4.磋商费用</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5.联合体竞标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（1）两个以上供应商可以组成一个竞标联合体，以一个供应商的身份共同参加竞标，联合体供应商的名称应统一按“XXX公司与XXX公司的联合体”的规则填写。</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（2）以联合体形式参加竞标的，联合体各方均应当符合“具有独立承担民事责任的能力”的条件。本项目有特殊要求规定供应商特定条件的，联合体各方中至少应当有一方符合招标文件规定的特定条件。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（6）联合体竞标业绩、履约能力按照联合体各方其中较高的一方认定并计算（招标文件另有规定的除外）。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（7）联合体各方均应按照招标文件的规定提交资格证明文件。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6.分包与转包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6.3本项目不允许转包。</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7.特别说明</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（2）非单一产品采购项目中，多家供应商提供的核心产品品牌相同的，视为提供相同品牌产品。核心产品的名称应当在招标文件中载明。</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7.3供应商应仔细阅读招标文件的所有内容，按照招标文件的要求提交响应文件，并对所提供的全部资料的真实性承担法律责任。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8.质疑和投诉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8.3质疑和投诉书面要求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（2）质疑项目的名称、编号；</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（4）事实依据；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（5）必要的法律依据；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8.4接受质疑函的联系方式等详见磋商公告中采购人、采购代理机构的联系方式。</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二、磋商文件</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9.竞争性磋商采购文件的组成</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（1）磋商公告；</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（2）供应商须知；</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（3）项目需求；</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（4）评审办法和定标标准；</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（5）响应文件格式；</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（6）合同主要条款；</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（7）其他资料（如有）。</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10.供应商的风险</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10.1供应商没有按照招标文件要求提供全部资料，或者供应商没有对招标文件在各方面作出实质性响应是供应商的风险，并可能导致其投标被拒绝。</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11.磋商文件的澄清与修改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11.1供应商应</w:t>
      </w:r>
      <w:r>
        <w:rPr>
          <w:rFonts w:hint="eastAsia" w:ascii="宋体" w:hAnsi="宋体" w:cs="宋体"/>
          <w:bCs/>
          <w:color w:val="auto"/>
          <w:highlight w:val="none"/>
        </w:rPr>
        <w:t>认真阅读本磋商文件，发现</w:t>
      </w:r>
      <w:r>
        <w:rPr>
          <w:rFonts w:hint="eastAsia" w:ascii="宋体" w:hAnsi="宋体" w:cs="宋体"/>
          <w:color w:val="auto"/>
          <w:highlight w:val="none"/>
        </w:rPr>
        <w:t>磋商文件表述不清晰、存在歧视性、排他性或者其他违法内容的，应以书面形式要求招标采购单位作出书面解释、澄清</w:t>
      </w:r>
      <w:r>
        <w:rPr>
          <w:rFonts w:hint="eastAsia" w:ascii="宋体" w:hAnsi="宋体" w:cs="宋体"/>
          <w:color w:val="auto"/>
          <w:szCs w:val="21"/>
          <w:highlight w:val="none"/>
        </w:rPr>
        <w:t>，否则，由此产生的后果由供应商负责。</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12.现场考察或答疑会</w:t>
      </w:r>
    </w:p>
    <w:p>
      <w:pPr>
        <w:spacing w:line="440" w:lineRule="exact"/>
        <w:ind w:left="2"/>
        <w:rPr>
          <w:rFonts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三、响应文件的编制</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13.响应文件的组成</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pPr>
        <w:pStyle w:val="23"/>
        <w:spacing w:line="440" w:lineRule="exact"/>
        <w:rPr>
          <w:rFonts w:hAnsi="宋体" w:cs="宋体"/>
          <w:b/>
          <w:color w:val="auto"/>
          <w:sz w:val="21"/>
          <w:highlight w:val="none"/>
        </w:rPr>
      </w:pPr>
      <w:r>
        <w:rPr>
          <w:rFonts w:hint="eastAsia" w:hAnsi="宋体" w:cs="宋体"/>
          <w:b/>
          <w:color w:val="auto"/>
          <w:sz w:val="21"/>
          <w:highlight w:val="none"/>
        </w:rPr>
        <w:t>13.1资格证明文件（以下文件标注“▲”的必须提供，否则投标无效，其他可根据实际情况提供）</w:t>
      </w:r>
    </w:p>
    <w:p>
      <w:pPr>
        <w:pStyle w:val="23"/>
        <w:spacing w:line="440" w:lineRule="exact"/>
        <w:ind w:firstLine="405"/>
        <w:rPr>
          <w:rFonts w:hAnsi="宋体" w:cs="宋体"/>
          <w:b/>
          <w:color w:val="auto"/>
          <w:sz w:val="21"/>
          <w:highlight w:val="none"/>
        </w:rPr>
      </w:pPr>
      <w:r>
        <w:rPr>
          <w:rFonts w:hint="eastAsia" w:hAnsi="宋体" w:cs="宋体"/>
          <w:b/>
          <w:color w:val="auto"/>
          <w:sz w:val="21"/>
          <w:highlight w:val="none"/>
        </w:rPr>
        <w:t>▲注：以下各项属于均要加盖供应商电子公章。联合体投标时，第2-10项资格证明文件联合体各方均必须分别提供，联合体各方分别盖章和签字，否则响应文件按无效响应处理。</w:t>
      </w:r>
    </w:p>
    <w:p>
      <w:pPr>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）磋商声明书(按第四章要求格式填写)；</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▲（2）响应供应商合法的主体资格证明（如营业执照、事业单位法人证书、执业许可证、个体工商户营业执照、自然人身份证等）复印件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响应供应商依法缴纳税收的相关材料（2024年11月至2025年4月内任意连续3个月的依法缴纳税收的证明材料（凭证或税务机关出具的证明）复印件（或扫描件）；依法免税的供应商，必须提供相应文件证明其依法免税。从成立之日起到投标文件提交截止时间止不足要求月数的，只需提供从成立之日起的依法缴纳税收相应证明文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响应供应商依法缴纳社会保障资金的相关材料（2024年11月至2025年4月内任意连续3个月的依法缴纳社会保障资金的缴费凭证（专用收据或者社会保险缴纳清单或者社保部门出具的证明文件）复印件（或扫描件）；依法不需要缴纳社会保障资金的供应商，必须提供相应文件证明不需要缴纳社会保障资金；如供应商社保由上级公司缴纳的，须提供以下资料：上级公司营业执照副本复印件；上级公司出具的社保缴纳情况说明原件（附供应商拟投入人员名单）；上级公司于开标前最近一次社会保障资金的缴费凭证；上级公司于开标前最近一次缴纳社会保险的供应商拟投入人员明细；从成立之日起到投标文件提交截止时间止不足要求月数的只需提供从成立之日起的依法缴纳社会保障资金的相应证明文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响应供应商</w:t>
      </w:r>
      <w:r>
        <w:rPr>
          <w:rFonts w:hint="eastAsia" w:ascii="宋体" w:hAnsi="宋体" w:cs="宋体"/>
          <w:color w:val="auto"/>
          <w:highlight w:val="none"/>
        </w:rPr>
        <w:t>2023年或2024年财务状况报告复印件【①可以是经会计师事务所审计的财务报告，或是本公司出具的财务报表；②新近成立不足半年的公司按实际提供财务报表】，或者银行出具的资信证明（说明：资信证明指：反映供应商资金结算无异常，无违规透支，无理拒付、无逾期（垫款）和欠息等不良记录，结算纪律良好的相关证明，并非指存款证明。如所提供该证明仅为存款数额信息的将作无效证明处理，并按无效投标处理）；</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▲（6）参加政府采购活动前三年内在经营活动中没有重大违法记录和不良信用记录的书面声明书（格式自拟）；</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（7）</w:t>
      </w:r>
      <w:r>
        <w:rPr>
          <w:rFonts w:hint="eastAsia" w:ascii="宋体" w:hAnsi="宋体" w:cs="宋体"/>
          <w:color w:val="auto"/>
          <w:szCs w:val="21"/>
          <w:highlight w:val="none"/>
        </w:rPr>
        <w:t>供应商如为分支机构投标的，须提供其总公司“营业执照”副本复印件和总公司对供应商参与本项目投标的授权书原件；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供应商直接控股、管理关系信息表(按第四章要求格式填写)；</w:t>
      </w:r>
    </w:p>
    <w:p>
      <w:pPr>
        <w:snapToGrid w:val="0"/>
        <w:spacing w:line="440" w:lineRule="exact"/>
        <w:ind w:firstLine="621" w:firstLineChars="296"/>
        <w:jc w:val="left"/>
        <w:rPr>
          <w:rFonts w:ascii="宋体" w:hAnsi="宋体" w:cs="宋体"/>
          <w:color w:val="auto"/>
          <w:szCs w:val="21"/>
          <w:highlight w:val="none"/>
        </w:rPr>
      </w:pPr>
      <w:r>
        <w:rPr>
          <w:rFonts w:hint="eastAsia" w:ascii="宋体" w:hAnsi="宋体" w:cs="宋体"/>
          <w:color w:val="auto"/>
          <w:szCs w:val="21"/>
          <w:highlight w:val="none"/>
        </w:rPr>
        <w:t>（9）联合体协议书；（联合体投标时必须提供，否则响应文件按无效响应处理）</w:t>
      </w:r>
    </w:p>
    <w:p>
      <w:pPr>
        <w:snapToGrid w:val="0"/>
        <w:spacing w:line="44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Cs w:val="0"/>
          <w:color w:val="auto"/>
          <w:highlight w:val="none"/>
        </w:rPr>
        <w:t>（10）</w:t>
      </w:r>
      <w:r>
        <w:rPr>
          <w:rFonts w:hint="eastAsia" w:ascii="宋体" w:hAnsi="宋体" w:eastAsia="宋体" w:cs="宋体"/>
          <w:color w:val="auto"/>
          <w:highlight w:val="none"/>
        </w:rPr>
        <w:t>特定资格条件：（如有要求则必须提供，否则响应文件按无效响应处理）</w:t>
      </w:r>
    </w:p>
    <w:p>
      <w:pPr>
        <w:snapToGrid w:val="0"/>
        <w:spacing w:line="44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zCs w:val="24"/>
          <w:highlight w:val="none"/>
        </w:rPr>
        <w:t>（11）中小企业声明函或监狱企业由省级以上监狱管理局、戒毒管理局（含新疆生产建设兵团）出具的属于监狱企业的证明文件或残疾人福利性单位声明函</w:t>
      </w:r>
      <w:r>
        <w:rPr>
          <w:rFonts w:hint="eastAsia" w:ascii="宋体" w:hAnsi="宋体" w:eastAsia="宋体" w:cs="宋体"/>
          <w:b w:val="0"/>
          <w:bCs w:val="0"/>
          <w:color w:val="auto"/>
          <w:szCs w:val="24"/>
          <w:highlight w:val="none"/>
        </w:rPr>
        <w:t>（</w:t>
      </w:r>
      <w:r>
        <w:rPr>
          <w:rFonts w:hint="eastAsia" w:ascii="宋体" w:hAnsi="宋体" w:eastAsia="宋体" w:cs="宋体"/>
          <w:b w:val="0"/>
          <w:bCs w:val="0"/>
          <w:color w:val="auto"/>
          <w:szCs w:val="24"/>
          <w:highlight w:val="none"/>
          <w:lang w:val="zh-CN"/>
        </w:rPr>
        <w:t>标项二、标项三、标项五、</w:t>
      </w:r>
      <w:r>
        <w:rPr>
          <w:rFonts w:hint="eastAsia" w:ascii="宋体" w:hAnsi="宋体" w:eastAsia="宋体" w:cs="宋体"/>
          <w:b w:val="0"/>
          <w:bCs w:val="0"/>
          <w:color w:val="auto"/>
          <w:szCs w:val="24"/>
          <w:highlight w:val="none"/>
          <w:lang w:val="en-US" w:eastAsia="zh-CN"/>
        </w:rPr>
        <w:t>标项七</w:t>
      </w:r>
      <w:r>
        <w:rPr>
          <w:rFonts w:hint="eastAsia" w:ascii="宋体" w:hAnsi="宋体" w:eastAsia="宋体" w:cs="宋体"/>
          <w:b w:val="0"/>
          <w:bCs w:val="0"/>
          <w:color w:val="auto"/>
          <w:szCs w:val="24"/>
          <w:highlight w:val="none"/>
        </w:rPr>
        <w:t>必须提供，</w:t>
      </w:r>
      <w:r>
        <w:rPr>
          <w:rFonts w:hint="eastAsia" w:ascii="宋体" w:hAnsi="宋体" w:eastAsia="宋体" w:cs="宋体"/>
          <w:b w:val="0"/>
          <w:bCs w:val="0"/>
          <w:color w:val="auto"/>
          <w:highlight w:val="none"/>
        </w:rPr>
        <w:t>否则投标无效</w:t>
      </w:r>
      <w:r>
        <w:rPr>
          <w:rFonts w:hint="eastAsia" w:ascii="宋体" w:hAnsi="宋体" w:eastAsia="宋体" w:cs="宋体"/>
          <w:b w:val="0"/>
          <w:bCs w:val="0"/>
          <w:color w:val="auto"/>
          <w:szCs w:val="24"/>
          <w:highlight w:val="none"/>
        </w:rPr>
        <w:t>）</w:t>
      </w:r>
    </w:p>
    <w:p>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13.2商务和技术文件（以下文件标注“▲”的必须提供，“招标项目采购需求”要求“必须提供”的必须提供，其他可根据实际情况提供，</w:t>
      </w:r>
      <w:r>
        <w:rPr>
          <w:rFonts w:hint="eastAsia" w:ascii="宋体" w:hAnsi="宋体" w:cs="宋体"/>
          <w:b/>
          <w:color w:val="auto"/>
          <w:highlight w:val="none"/>
        </w:rPr>
        <w:t>第</w:t>
      </w:r>
      <w:r>
        <w:rPr>
          <w:rFonts w:hint="eastAsia" w:ascii="宋体" w:hAnsi="宋体" w:cs="宋体"/>
          <w:b/>
          <w:color w:val="auto"/>
          <w:szCs w:val="21"/>
          <w:highlight w:val="none"/>
        </w:rPr>
        <w:t>（1）（2）项由法定代表人签名，否则其投标无效</w:t>
      </w:r>
      <w:r>
        <w:rPr>
          <w:rFonts w:hint="eastAsia" w:ascii="宋体" w:hAnsi="宋体" w:cs="宋体"/>
          <w:color w:val="auto"/>
          <w:szCs w:val="21"/>
          <w:highlight w:val="none"/>
        </w:rPr>
        <w:t>）</w:t>
      </w:r>
    </w:p>
    <w:p>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▲（1）法定代表人身份证明书(按第四章要求格式填写)；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▲（2）法定代表人授权委托书及被授权委托人身份证复印件(委托代理时，按第四章要求格式填写)；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（3）供应商情况介绍（格式自拟）；</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▲（4）商务响应表(按第四章要求格式填写)；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▲（5）技术响应表(按第四章要求格式填写，附“第三章采购需求”中要求提供的相关材料)；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▲（6）拟投入人员汇总表（附拟投入人员相关证书复印件，</w:t>
      </w:r>
      <w:r>
        <w:rPr>
          <w:rFonts w:hint="eastAsia" w:ascii="宋体" w:hAnsi="宋体" w:cs="宋体"/>
          <w:bCs/>
          <w:color w:val="auto"/>
          <w:szCs w:val="21"/>
          <w:highlight w:val="none"/>
        </w:rPr>
        <w:t>按第四章格式填写</w:t>
      </w:r>
      <w:r>
        <w:rPr>
          <w:rFonts w:hint="eastAsia" w:ascii="宋体" w:hAnsi="宋体" w:cs="宋体"/>
          <w:color w:val="auto"/>
          <w:szCs w:val="21"/>
          <w:highlight w:val="none"/>
        </w:rPr>
        <w:t>）</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▲（7）项目实施方案；(按第四章要求格式填写)；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▲（8）服务承诺书（按第四章格式填写）；</w:t>
      </w:r>
    </w:p>
    <w:p>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highlight w:val="none"/>
        </w:rPr>
        <w:t>（9）代理服务费承诺书(按第四章要求格式填写)；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（10）供应商对本项目的合理化建议和改进措施（格式自拟）；</w:t>
      </w:r>
    </w:p>
    <w:p>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szCs w:val="21"/>
          <w:highlight w:val="none"/>
        </w:rPr>
        <w:t>（11）</w:t>
      </w:r>
      <w:r>
        <w:rPr>
          <w:rFonts w:hint="eastAsia" w:ascii="宋体" w:hAnsi="宋体" w:cs="宋体"/>
          <w:color w:val="auto"/>
          <w:highlight w:val="none"/>
        </w:rPr>
        <w:t>供应商认为需要提供的其他证明材料。（供应商根据“第三章项目采购需求”及“第六章评标方法及评标标准”提供有关证明材料）。</w:t>
      </w:r>
    </w:p>
    <w:p>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13.3报价文件（以下文件标注“▲”的必须提供，要求“必须提供”的必须提供，其他可根据实际情况提供</w:t>
      </w:r>
      <w:r>
        <w:rPr>
          <w:rFonts w:hint="eastAsia" w:ascii="宋体" w:hAnsi="宋体" w:cs="宋体"/>
          <w:color w:val="auto"/>
          <w:szCs w:val="21"/>
          <w:highlight w:val="none"/>
        </w:rPr>
        <w:t>）</w:t>
      </w:r>
    </w:p>
    <w:p>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▲（1）竞标函（按第四章要求格式填写）；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▲（2）报价表(按第四章要求格式填写)；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（3）中小企业声明函（供应商如为中小微型企业的请按第四章要求的格式提供，否则不予享受优惠政策）；</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（4）监狱企业由省级以上监狱管理局、戒毒管理局（含新疆生产建设兵团）出具的属于监狱企业的证明文件；</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（5）残疾人福利性单位声明函（供应商如为残疾人福利性单位的请按第四章要求的格式提供，否则不予享受优惠政策）；</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（6）供应商针对报价需要说明的其他文件和说明（如有，格式自拟）</w:t>
      </w:r>
    </w:p>
    <w:p>
      <w:pPr>
        <w:snapToGrid w:val="0"/>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注：若</w:t>
      </w:r>
      <w:r>
        <w:rPr>
          <w:rFonts w:hint="eastAsia" w:ascii="宋体" w:hAnsi="宋体" w:cs="宋体"/>
          <w:b/>
          <w:bCs/>
          <w:color w:val="auto"/>
          <w:highlight w:val="none"/>
        </w:rPr>
        <w:t>竞争性磋商</w:t>
      </w:r>
      <w:r>
        <w:rPr>
          <w:rFonts w:hint="eastAsia" w:ascii="宋体" w:hAnsi="宋体" w:cs="宋体"/>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14.响应文件的语言及计量</w:t>
      </w:r>
    </w:p>
    <w:p>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15、响应文件报价要求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ascii="宋体" w:hAnsi="宋体" w:cs="宋体"/>
          <w:color w:val="auto"/>
          <w:highlight w:val="none"/>
        </w:rPr>
        <w:t>报价须小于等于最高限价，否则响应无效。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15.3成交供应商负责本项目所需服务的全部工作，包含完成本项目所需的人力成本（含人员工资、福利、各种保险）、交通、设备费、场地使用费、材料费、验收费、利润、税金等一切可能发生的费用。</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15.4供应商应就第三章《项目采购需求》中的全部服务内容作完整唯一报价。</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pPr>
        <w:spacing w:line="440" w:lineRule="exact"/>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16、响应文件有效期</w:t>
      </w:r>
    </w:p>
    <w:p>
      <w:pPr>
        <w:spacing w:line="440" w:lineRule="exact"/>
        <w:ind w:left="420" w:hanging="420"/>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pPr>
        <w:pStyle w:val="23"/>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16.2在特殊情况下，采购人可与供应商协商延长响应文件的有效期，这种要求和答复均以书面形式进行。</w:t>
      </w:r>
    </w:p>
    <w:p>
      <w:pPr>
        <w:pStyle w:val="23"/>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16.3供应商可拒绝接受延长有效期要求而不会导致磋商保证金被没收。同意延长有效期的供应商需要相应延长磋商保证金的有效期，但不能修改响应文件其它内容。</w:t>
      </w:r>
    </w:p>
    <w:p>
      <w:pPr>
        <w:spacing w:line="440" w:lineRule="exact"/>
        <w:ind w:left="420" w:hanging="420"/>
        <w:rPr>
          <w:rFonts w:ascii="宋体" w:hAnsi="宋体" w:cs="宋体"/>
          <w:color w:val="auto"/>
          <w:highlight w:val="none"/>
        </w:rPr>
      </w:pPr>
      <w:r>
        <w:rPr>
          <w:rFonts w:hint="eastAsia" w:ascii="宋体" w:hAnsi="宋体" w:cs="宋体"/>
          <w:color w:val="auto"/>
          <w:szCs w:val="21"/>
          <w:highlight w:val="none"/>
        </w:rPr>
        <w:t>16.4</w:t>
      </w:r>
      <w:r>
        <w:rPr>
          <w:rFonts w:hint="eastAsia" w:ascii="宋体" w:hAnsi="宋体" w:cs="宋体"/>
          <w:color w:val="auto"/>
          <w:highlight w:val="none"/>
        </w:rPr>
        <w:t>供应商的响应文件自开标之日起至合同履行完毕止均应保持有效。</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17、磋商保证金</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17.1磋商保证金金额：详见供应商须知前附表。磋商保证金应在响应文件有效期内保持有效。</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17.2供应商须按规定于竞标截止前足额提交磋商保证金，</w:t>
      </w:r>
      <w:r>
        <w:rPr>
          <w:rFonts w:hint="eastAsia" w:ascii="宋体" w:hAnsi="宋体" w:cs="宋体"/>
          <w:b/>
          <w:color w:val="auto"/>
          <w:kern w:val="0"/>
          <w:szCs w:val="21"/>
          <w:highlight w:val="none"/>
        </w:rPr>
        <w:t>否则，其响应无效。</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17.3磋商保证金交纳形式：</w:t>
      </w:r>
      <w:r>
        <w:rPr>
          <w:rFonts w:hint="eastAsia" w:ascii="宋体" w:hAnsi="宋体" w:cs="宋体"/>
          <w:color w:val="auto"/>
          <w:highlight w:val="none"/>
        </w:rPr>
        <w:t>转账、电汇、网上银行、支票、汇票、本票或者银行、保险机构出具的保函，禁止采用现钞方式。</w:t>
      </w:r>
    </w:p>
    <w:p>
      <w:pPr>
        <w:snapToGri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采用转账、电汇、网上银行方式的，在首次提交响应文件截止时间前交至</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u w:val="single"/>
        </w:rPr>
        <w:t>中国银行柳州市八一支行</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u w:val="single"/>
        </w:rPr>
        <w:t>广西德元工程项目管理有限责任公司，银行账号：6158 6557 4841</w:t>
      </w:r>
      <w:r>
        <w:rPr>
          <w:rFonts w:hint="eastAsia" w:ascii="宋体" w:hAnsi="宋体" w:cs="宋体"/>
          <w:color w:val="auto"/>
          <w:kern w:val="0"/>
          <w:szCs w:val="21"/>
          <w:highlight w:val="none"/>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。若广西德元工程项目管理有限责任公司保证金专户在保证金规定递交时间内没有收到供应商足额交纳的磋商保证金，</w:t>
      </w:r>
      <w:r>
        <w:rPr>
          <w:rFonts w:hint="eastAsia" w:hAnsi="宋体" w:cs="宋体"/>
          <w:b/>
          <w:color w:val="auto"/>
          <w:sz w:val="21"/>
          <w:highlight w:val="none"/>
        </w:rPr>
        <w:t>其响应无效</w:t>
      </w:r>
      <w:r>
        <w:rPr>
          <w:rFonts w:hint="eastAsia" w:hAnsi="宋体" w:cs="宋体"/>
          <w:color w:val="auto"/>
          <w:sz w:val="21"/>
          <w:highlight w:val="none"/>
        </w:rPr>
        <w:t>；因此供应商在缴纳磋商保证金时应充分考虑保证金到达本公司保证金专户上的时间，以免影响竞标。办理磋商保证金手续时，请务必在银行进帐单的用途或空白栏上注明招标项目名称或采购编号</w:t>
      </w:r>
      <w:r>
        <w:rPr>
          <w:rFonts w:hint="eastAsia" w:hAnsi="宋体" w:cs="宋体"/>
          <w:b/>
          <w:color w:val="auto"/>
          <w:sz w:val="21"/>
          <w:highlight w:val="none"/>
        </w:rPr>
        <w:t>，如遇受字符限制的情况，项目名称可简写。</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采用支票、汇票、本票或银行、保险机构出具的保函交纳方式的，供应商应将支票、汇票、本票或银行、保险机构出具的保函的复印件作为磋商保证金提交凭证，放置于响应文件中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cs="宋体"/>
          <w:b/>
          <w:color w:val="auto"/>
          <w:sz w:val="21"/>
          <w:highlight w:val="none"/>
        </w:rPr>
        <w:t>其响应无效</w:t>
      </w:r>
      <w:r>
        <w:rPr>
          <w:rFonts w:hint="eastAsia" w:hAnsi="宋体" w:cs="宋体"/>
          <w:color w:val="auto"/>
          <w:sz w:val="21"/>
          <w:highlight w:val="none"/>
        </w:rPr>
        <w:t>；因此供应商无论采用现场或者是邮寄递交上述原件时应充分考虑到达时间，以免影响竞标。</w:t>
      </w:r>
    </w:p>
    <w:p>
      <w:pPr>
        <w:pStyle w:val="23"/>
        <w:spacing w:line="440" w:lineRule="exact"/>
        <w:rPr>
          <w:rFonts w:hAnsi="宋体" w:cs="宋体"/>
          <w:color w:val="auto"/>
          <w:sz w:val="21"/>
          <w:highlight w:val="none"/>
        </w:rPr>
      </w:pPr>
      <w:r>
        <w:rPr>
          <w:rFonts w:hint="eastAsia" w:hAnsi="宋体" w:cs="宋体"/>
          <w:color w:val="auto"/>
          <w:sz w:val="21"/>
          <w:highlight w:val="none"/>
        </w:rPr>
        <w:t>17.4</w:t>
      </w:r>
      <w:r>
        <w:rPr>
          <w:rFonts w:hint="eastAsia" w:hAnsi="宋体" w:cs="宋体"/>
          <w:b/>
          <w:color w:val="auto"/>
          <w:spacing w:val="-2"/>
          <w:sz w:val="21"/>
          <w:highlight w:val="none"/>
        </w:rPr>
        <w:t>首次提交响应文件截止时间后提交的，或未足额交纳的，或保函额度不足的，视为无效磋商保证金</w:t>
      </w:r>
      <w:r>
        <w:rPr>
          <w:rFonts w:hint="eastAsia" w:hAnsi="宋体" w:cs="宋体"/>
          <w:b/>
          <w:color w:val="auto"/>
          <w:sz w:val="21"/>
          <w:highlight w:val="none"/>
        </w:rPr>
        <w:t>。</w:t>
      </w:r>
    </w:p>
    <w:p>
      <w:pPr>
        <w:pStyle w:val="23"/>
        <w:spacing w:line="440" w:lineRule="exact"/>
        <w:rPr>
          <w:rFonts w:hAnsi="宋体" w:cs="宋体"/>
          <w:color w:val="auto"/>
          <w:sz w:val="21"/>
          <w:highlight w:val="none"/>
        </w:rPr>
      </w:pPr>
      <w:r>
        <w:rPr>
          <w:rFonts w:hint="eastAsia" w:hAnsi="宋体" w:cs="宋体"/>
          <w:color w:val="auto"/>
          <w:sz w:val="21"/>
          <w:highlight w:val="none"/>
        </w:rPr>
        <w:t>17.5</w:t>
      </w:r>
      <w:r>
        <w:rPr>
          <w:rFonts w:hint="eastAsia" w:hAnsi="宋体" w:cs="宋体"/>
          <w:b/>
          <w:color w:val="auto"/>
          <w:sz w:val="21"/>
          <w:highlight w:val="none"/>
        </w:rPr>
        <w:t>供应商采用现钞方式或从个人账户（个体工商户及自然人竞标除外）转出的磋商保证金，视为无效磋商保证金。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17.6</w:t>
      </w:r>
      <w:r>
        <w:rPr>
          <w:rFonts w:hint="eastAsia" w:hAnsi="宋体" w:cs="宋体"/>
          <w:b/>
          <w:color w:val="auto"/>
          <w:sz w:val="21"/>
          <w:highlight w:val="none"/>
        </w:rPr>
        <w:t>支票、汇票、本票出现背书情形，或者有条件支付的，或者支票、汇票、本票无效的，视为无效磋商保证金。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17.7</w:t>
      </w:r>
      <w:r>
        <w:rPr>
          <w:rFonts w:hint="eastAsia" w:hAnsi="宋体" w:cs="宋体"/>
          <w:b/>
          <w:color w:val="auto"/>
          <w:sz w:val="21"/>
          <w:highlight w:val="none"/>
        </w:rPr>
        <w:t>保函有效期低于响应文件有效期的，视为无效磋商保证金。</w:t>
      </w:r>
    </w:p>
    <w:p>
      <w:pPr>
        <w:pStyle w:val="23"/>
        <w:spacing w:line="440" w:lineRule="exact"/>
        <w:rPr>
          <w:rFonts w:hAnsi="宋体" w:cs="宋体"/>
          <w:b/>
          <w:color w:val="auto"/>
          <w:kern w:val="2"/>
          <w:sz w:val="21"/>
          <w:highlight w:val="none"/>
        </w:rPr>
      </w:pPr>
      <w:r>
        <w:rPr>
          <w:rFonts w:hint="eastAsia" w:hAnsi="宋体" w:cs="宋体"/>
          <w:color w:val="auto"/>
          <w:sz w:val="21"/>
          <w:highlight w:val="none"/>
        </w:rPr>
        <w:t>17.8</w:t>
      </w:r>
      <w:r>
        <w:rPr>
          <w:rFonts w:hint="eastAsia" w:hAnsi="宋体" w:cs="宋体"/>
          <w:b/>
          <w:color w:val="auto"/>
          <w:sz w:val="21"/>
          <w:highlight w:val="none"/>
        </w:rPr>
        <w:t>磋商保证金采用金融机构、担保机构出具的保函为有条件保函的，视为无效磋商保证金。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17.9磋商保证金的退还</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（1）未成交人的磋商保证金自成交通知书发出之日起4个工作日内退还，退还方式如下：</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①采用银行转账方式的，以转账方式退回到供应商银行账户。</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②采用支票、汇票或本票方式的，以转账方式退回到供应商银行账户或由供应商代表持相关授权证明材料至采购人或采购代理机构办理支票、汇票或本票原件退还手续。</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（2）成交人应在合同签订之日起2个工作日内向采购代理机构提供</w:t>
      </w:r>
      <w:r>
        <w:rPr>
          <w:rFonts w:hint="eastAsia" w:ascii="宋体" w:hAnsi="宋体" w:cs="宋体"/>
          <w:color w:val="auto"/>
          <w:highlight w:val="none"/>
          <w:u w:val="single"/>
        </w:rPr>
        <w:t>壹</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（3）磋商保证金不计息。</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17.10供应商有下列情形之一的，磋商保证金将不予退还：</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（1）供应商在响应文件有效期内撤回响应文件的；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（2）未按规定提交履约保证金的；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（3）供应商在竞标过程中弄虚作假，提供虚假材料的；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（4）成交人无正当理由不与采购人签订合同的；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（5）将成交项目转让给他人或者在响应文件中未说明且未经招标采购单位同意，将成交项目分包给他人的；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（6）拒绝履行合同义务的；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（7）其他严重扰乱招竞标程序的；</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18、</w:t>
      </w:r>
      <w:bookmarkStart w:id="10" w:name="_Toc254970683"/>
      <w:bookmarkStart w:id="11" w:name="_Toc254970542"/>
      <w:r>
        <w:rPr>
          <w:rFonts w:hint="eastAsia" w:ascii="宋体" w:hAnsi="宋体" w:cs="宋体"/>
          <w:b/>
          <w:color w:val="auto"/>
          <w:szCs w:val="21"/>
          <w:highlight w:val="none"/>
        </w:rPr>
        <w:t>响应文件的</w:t>
      </w:r>
      <w:bookmarkEnd w:id="10"/>
      <w:bookmarkEnd w:id="11"/>
      <w:r>
        <w:rPr>
          <w:rFonts w:hint="eastAsia" w:ascii="宋体" w:hAnsi="宋体" w:cs="宋体"/>
          <w:b/>
          <w:color w:val="auto"/>
          <w:szCs w:val="21"/>
          <w:highlight w:val="none"/>
        </w:rPr>
        <w:t>编制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highlight w:val="none"/>
        </w:rPr>
        <w:t>公章不视为在规定位置盖章。</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18.5</w:t>
      </w:r>
      <w:r>
        <w:rPr>
          <w:rFonts w:hint="eastAsia" w:ascii="宋体" w:hAnsi="宋体" w:cs="宋体"/>
          <w:color w:val="auto"/>
          <w:kern w:val="0"/>
          <w:szCs w:val="21"/>
          <w:highlight w:val="none"/>
        </w:rPr>
        <w:t>响应文件应避免涂改、行间插字或者删除，否则其响应文件按无效响应处理。</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18.7使用“广西政府采购云平台电子交易客户端”需要提前申领CA数字证书，申领流程见该项目采购公告附件。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18.8为确保网上操作合法、有效和安全，供应商应当在响应文件提交截止时间前完成在“政府采购云平台”的身份认证，确保在电子交易过程中能够对相关数据电文进行加密和使用电子签名。</w:t>
      </w:r>
    </w:p>
    <w:p>
      <w:pPr>
        <w:spacing w:line="440" w:lineRule="exact"/>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19.2未在规定时间内提交或者未按照磋商文件要求密封或者标记的电子响应文件，广西政府采购云平台将拒收。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19.3电子版响应文件提交方式见“磋商公告”中“四、提交响应文件截止时间、开标时间和地点”。</w:t>
      </w:r>
    </w:p>
    <w:p>
      <w:pPr>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20.2广西政府采购云平台收到响应文件，将妥善保存并即时向供应商发出确认回执通知。在提交响应文件截止时间前，除供应商补充、修改或者撤回响应文件外，任何单位和个人不得解密或提取响应文件。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pPr>
        <w:tabs>
          <w:tab w:val="left" w:pos="3600"/>
        </w:tabs>
        <w:spacing w:line="440" w:lineRule="exact"/>
        <w:rPr>
          <w:rFonts w:ascii="宋体" w:hAnsi="宋体" w:cs="宋体"/>
          <w:b/>
          <w:color w:val="auto"/>
          <w:szCs w:val="21"/>
          <w:highlight w:val="none"/>
        </w:rPr>
      </w:pPr>
      <w:bookmarkStart w:id="12" w:name="_Toc254970685"/>
      <w:bookmarkStart w:id="13" w:name="_Toc293863053"/>
      <w:bookmarkStart w:id="14" w:name="_Toc448421142"/>
      <w:bookmarkStart w:id="15" w:name="_Toc482864551"/>
      <w:bookmarkStart w:id="16" w:name="_Toc483327811"/>
      <w:bookmarkStart w:id="17" w:name="_Toc254970544"/>
      <w:bookmarkStart w:id="18" w:name="_Toc495388768"/>
      <w:bookmarkStart w:id="19" w:name="_Toc495351941"/>
      <w:bookmarkStart w:id="20" w:name="_Toc495388445"/>
      <w:bookmarkStart w:id="21" w:name="_Toc293863320"/>
      <w:bookmarkStart w:id="22" w:name="_Toc445223680"/>
      <w:bookmarkStart w:id="23" w:name="_Toc308018677"/>
      <w:bookmarkStart w:id="24" w:name="_Toc482865322"/>
      <w:bookmarkStart w:id="25" w:name="_Toc400465713"/>
      <w:bookmarkStart w:id="26" w:name="_Toc482865152"/>
      <w:r>
        <w:rPr>
          <w:rFonts w:hint="eastAsia" w:ascii="宋体" w:hAnsi="宋体" w:cs="宋体"/>
          <w:b/>
          <w:color w:val="auto"/>
          <w:szCs w:val="21"/>
          <w:highlight w:val="none"/>
        </w:rPr>
        <w:t>四、</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cs="宋体"/>
          <w:b/>
          <w:color w:val="auto"/>
          <w:szCs w:val="21"/>
          <w:highlight w:val="none"/>
        </w:rPr>
        <w:t>评审及磋商</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21.磋商小组成立</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22.首次响应文件的开启</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22.1首次响应文件由磋商小组或者采购代理机构在“供应商须知前附表”规定的时间开启。</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23.响应文件解密</w:t>
      </w:r>
    </w:p>
    <w:p>
      <w:pPr>
        <w:snapToGrid w:val="0"/>
        <w:spacing w:line="440" w:lineRule="exact"/>
        <w:jc w:val="left"/>
        <w:rPr>
          <w:rFonts w:ascii="宋体" w:hAnsi="宋体" w:cs="宋体"/>
          <w:bCs/>
          <w:color w:val="auto"/>
          <w:highlight w:val="none"/>
        </w:rPr>
      </w:pPr>
      <w:r>
        <w:rPr>
          <w:rFonts w:hint="eastAsia" w:ascii="宋体" w:hAnsi="宋体" w:cs="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highlight w:val="none"/>
        </w:rPr>
        <w:t>通知后，</w:t>
      </w:r>
      <w:r>
        <w:rPr>
          <w:rFonts w:hint="eastAsia" w:ascii="宋体" w:hAnsi="宋体" w:cs="宋体"/>
          <w:color w:val="auto"/>
          <w:highlight w:val="none"/>
        </w:rPr>
        <w:t>响应</w:t>
      </w:r>
      <w:r>
        <w:rPr>
          <w:rFonts w:hint="eastAsia" w:ascii="宋体" w:hAnsi="宋体" w:cs="宋体"/>
          <w:bCs/>
          <w:color w:val="auto"/>
          <w:highlight w:val="none"/>
        </w:rPr>
        <w:t>文件仍未按时解密，或者</w:t>
      </w:r>
      <w:r>
        <w:rPr>
          <w:rFonts w:hint="eastAsia" w:ascii="宋体" w:hAnsi="宋体" w:cs="宋体"/>
          <w:color w:val="auto"/>
          <w:highlight w:val="none"/>
        </w:rPr>
        <w:t>供应商</w:t>
      </w:r>
      <w:r>
        <w:rPr>
          <w:rFonts w:hint="eastAsia" w:ascii="宋体" w:hAnsi="宋体" w:cs="宋体"/>
          <w:bCs/>
          <w:color w:val="auto"/>
          <w:highlight w:val="none"/>
        </w:rPr>
        <w:t>没预留联系方式或预留联系方式无效，</w:t>
      </w:r>
      <w:r>
        <w:rPr>
          <w:rFonts w:hint="eastAsia" w:ascii="宋体" w:hAnsi="宋体" w:cs="宋体"/>
          <w:color w:val="auto"/>
          <w:highlight w:val="none"/>
        </w:rPr>
        <w:t>非代理机构原因导致代理机构无法联系到供应商进行解密的</w:t>
      </w:r>
      <w:r>
        <w:rPr>
          <w:rFonts w:hint="eastAsia" w:ascii="宋体" w:hAnsi="宋体" w:cs="宋体"/>
          <w:bCs/>
          <w:color w:val="auto"/>
          <w:highlight w:val="none"/>
        </w:rPr>
        <w:t>，</w:t>
      </w:r>
      <w:r>
        <w:rPr>
          <w:rFonts w:hint="eastAsia" w:ascii="宋体" w:hAnsi="宋体" w:cs="宋体"/>
          <w:color w:val="auto"/>
          <w:highlight w:val="none"/>
        </w:rPr>
        <w:t>视为响应文件无效</w:t>
      </w:r>
      <w:r>
        <w:rPr>
          <w:rFonts w:hint="eastAsia" w:ascii="宋体" w:hAnsi="宋体" w:cs="宋体"/>
          <w:bCs/>
          <w:color w:val="auto"/>
          <w:highlight w:val="none"/>
        </w:rPr>
        <w:t>。</w:t>
      </w:r>
      <w:r>
        <w:rPr>
          <w:rFonts w:hint="eastAsia" w:ascii="宋体" w:hAnsi="宋体" w:cs="宋体"/>
          <w:color w:val="auto"/>
          <w:highlight w:val="none"/>
        </w:rPr>
        <w:t>（解密异常情况处理：详见本章30.电子交易活动的中止。）</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23.2如供应商成功解密响应文件，但未在“广西政府采购云平台”电子开标大厅参加谈判的，视同认可谈判过程和结果，由此产生的后果由供应商自行负责。参与谈判的供应商不足3家的，不得谈判。</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24.评审程序</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24.1磋商小组按照“第六章评审方法和评审标准”规定的方法、评审因素、标准和程序对响应文件进行评审。</w:t>
      </w:r>
    </w:p>
    <w:p>
      <w:pPr>
        <w:spacing w:line="440" w:lineRule="exact"/>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pPr>
        <w:snapToGri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（1）不具备招标文件中规定的资格要求的；（注：其中信用查询由采购人或采购代理机构于资格审查时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pPr>
        <w:widowControl/>
        <w:spacing w:line="440" w:lineRule="exact"/>
        <w:ind w:firstLine="408"/>
        <w:jc w:val="left"/>
        <w:rPr>
          <w:rFonts w:ascii="宋体" w:hAnsi="宋体" w:cs="宋体"/>
          <w:bCs/>
          <w:color w:val="auto"/>
          <w:szCs w:val="21"/>
          <w:highlight w:val="none"/>
        </w:rPr>
      </w:pPr>
      <w:r>
        <w:rPr>
          <w:rFonts w:hint="eastAsia" w:ascii="宋体" w:hAnsi="宋体" w:cs="宋体"/>
          <w:bCs/>
          <w:color w:val="auto"/>
          <w:szCs w:val="21"/>
          <w:highlight w:val="none"/>
        </w:rPr>
        <w:t>（2）未提供招标文件中“（一）响应文件的组成1.资格证明文件”要求必须提供的资料的；</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（3）法律、法规和招标文件规定的其他无效情形。</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24.3符合性审查</w:t>
      </w:r>
    </w:p>
    <w:p>
      <w:pPr>
        <w:widowControl/>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（1）未按照招标文件的规定提交磋商保证金的；</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（2）响应文件未按磋商文件要求签署、盖章的；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（4）响应文件的实质性内容未使用中文表述、意思表述不明确、前后矛盾或者使用计量单位不符合招标文件要求的（经评标委员会认定并允许其当场更正的笔误除外）</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（5）磋商有效期、服务期或交货期、质保期等商务条款不能满足招标文件要求的；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（6）未实质性响应招标文件要求或者响应文件有招标方不能接受的附加条件的。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rPr>
        <w:t>未提供招标文件中“（一）响应文件的组成2.商务和技术文件”要求必须提供的资料的；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（8）响应文件标明的响应或偏离与事实不符或虚假竞标的；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（9）明显不符合</w:t>
      </w:r>
      <w:r>
        <w:rPr>
          <w:rFonts w:hint="eastAsia" w:ascii="宋体" w:hAnsi="宋体" w:cs="宋体"/>
          <w:bCs/>
          <w:color w:val="auto"/>
          <w:szCs w:val="21"/>
          <w:highlight w:val="none"/>
        </w:rPr>
        <w:t>竞争性磋商文件</w:t>
      </w:r>
      <w:r>
        <w:rPr>
          <w:rFonts w:hint="eastAsia" w:ascii="宋体" w:hAnsi="宋体" w:cs="宋体"/>
          <w:color w:val="auto"/>
          <w:szCs w:val="21"/>
          <w:highlight w:val="none"/>
        </w:rPr>
        <w:t>要求的质量标准、采购需求，或者与竞争性磋商文件中标“▲”的技术指标、服务需求发生实质性偏离的；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（10）技术方案不明确，存在一个或一个以上备选（替代）竞标方案的。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未提供招标文件中“（一）响应文件的组成..报价文件”要求必须提供的资料的；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（12）报价超过招标文件中规定的预算金额或者最高限价的；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（13）未采用人民币报价或者未按照招标文件标明的币种报价的；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（14）竞标报价具有选择性，或者开标价格与响应文件承诺的优惠（折扣）价格不一致的；</w:t>
      </w:r>
    </w:p>
    <w:p>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（15）法律、法规和招标文件规定的其他无效情形。</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25.磋商程序</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25.3对磋商文件作出的实质性变动是磋商文件的有效组成部分，由磋商小组及时以电子澄清函形式同时通知所有参加磋商的供应商。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25.5磋商中，磋商的任何一方不得透露与磋商有关的其他供应商的技术资料、价格和其他信息。</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25.6磋商小组应对磋商过程和重要磋商内容进行记录，作为评标报告一部分，磋商小组在记录上签字确认。</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25.7磋商过程中重新提交的响应文件，供应商可以在开启前补充、修改。</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25.8对磋商过程提交的响应文件进行有效性、完整性和响应程度审查，通过审查的合格供应商不足3家的，采购人或者采购代理机构应当重新开展采购活动。</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26.最后报价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26.1磋商文件能够详细列明采购标的的技术、服务要求的，磋商结束后，由磋商小组要求所有继续参加磋商的供应商在规定时间内密封提交最后报价，除本章第26.3条</w:t>
      </w:r>
      <w:r>
        <w:rPr>
          <w:rFonts w:hint="eastAsia" w:ascii="宋体" w:hAnsi="宋体" w:cs="宋体"/>
          <w:color w:val="auto"/>
          <w:highlight w:val="none"/>
        </w:rPr>
        <w:t>以及</w:t>
      </w:r>
      <w:r>
        <w:rPr>
          <w:rFonts w:hint="eastAsia" w:ascii="宋体" w:hAnsi="宋体" w:cs="宋体"/>
          <w:color w:val="auto"/>
          <w:szCs w:val="21"/>
          <w:highlight w:val="none"/>
        </w:rPr>
        <w:t>《财政部关于政府采购竞争性磋商采购方式管理暂行办法有关问题的补充通知》（财库〔2015〕124号）规定外，提交最后报价的供应商不得少于3家，否则必须重新采购。</w:t>
      </w:r>
      <w:r>
        <w:rPr>
          <w:rFonts w:hint="eastAsia" w:ascii="宋体" w:hAnsi="宋体" w:cs="宋体"/>
          <w:color w:val="auto"/>
          <w:kern w:val="0"/>
          <w:szCs w:val="21"/>
          <w:highlight w:val="none"/>
        </w:rPr>
        <w:t>继续参加磋商的供应商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26.4已经提交响应文件的供应商，在提交最后报价之前，可以根据磋商情况退出磋商，退出磋商的供应商的响应文件按无效响应处理。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26.5供应商未在规定时间内提交最后报价的，视同退出磋商。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26.6磋商小组收齐项目或某一分标最后报价后统一开启，磋商小组对最后报价进行有效性、完整性和响应程度的审查。</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26.10供应商出现最后报价按无效响应处理或者响应文件按无效处理时，磋商小组应当告知有关供应商。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26.11最后报价结束后，磋商小组不得再与供应商进行任何形式的商谈。</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27.比较与评价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27.1评审方法：综合评分法。</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27.2经磋商确定最终采购需求和提交最后报价的供应商后，由磋商小组采用综合评分法对提交最后报价的供应商的响应文件和最后报价进行综合评分。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27.3评审时，磋商小组各成员应当独立对每个有效响应的文件进行评价、打分，然后汇总每个供应商每项评分因素的得分。</w:t>
      </w:r>
    </w:p>
    <w:p>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27.4评审价为供应商的最后报价进行政策性扣除后的价格，评审价只是作为评审时使用。最终成交供应商的成交金额等于最后报价（如有修正，以确认修正后的最后报价为准）。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28.澄清问题的形式</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w:t>
      </w:r>
      <w:r>
        <w:rPr>
          <w:rFonts w:hint="eastAsia" w:ascii="宋体" w:hAnsi="宋体" w:cs="宋体"/>
          <w:color w:val="auto"/>
          <w:highlight w:val="none"/>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highlight w:val="none"/>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29.错误修正</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29.1竞争性磋商响应文件如果出现计算或表达上的错误，修正错误的原则如下：</w:t>
      </w:r>
    </w:p>
    <w:p>
      <w:pPr>
        <w:widowControl/>
        <w:spacing w:line="44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30.电子交易活动的中止</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31.评委表决</w:t>
      </w:r>
    </w:p>
    <w:p>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32.评审过程的监控</w:t>
      </w:r>
    </w:p>
    <w:p>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highlight w:val="none"/>
        </w:rPr>
        <w:t>32.1本项目电子评标过程实行网上留痕、全程录音、录像监控，，供应商在评审过程中所进行的试图影响评审结果的不公正活动，可能导致其竞争性磋商被拒绝。</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五、成交及合同</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33.确定成交供应商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kern w:val="0"/>
          <w:szCs w:val="21"/>
          <w:highlight w:val="none"/>
        </w:rPr>
        <w:t>根据以下原则确定成交供应商：</w:t>
      </w:r>
      <w:r>
        <w:rPr>
          <w:rFonts w:hint="eastAsia" w:ascii="宋体" w:hAnsi="宋体" w:cs="宋体"/>
          <w:color w:val="auto"/>
          <w:kern w:val="0"/>
          <w:highlight w:val="none"/>
        </w:rPr>
        <w:t>响应文件满足磋商文件全部实质性要求且按评审因素的量化指标评审得分最高的供应商为成交供应商。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ascii="宋体" w:hAnsi="宋体" w:cs="宋体"/>
          <w:color w:val="auto"/>
          <w:highlight w:val="none"/>
        </w:rPr>
        <w:t>采购代理机构或采购人</w:t>
      </w:r>
      <w:r>
        <w:rPr>
          <w:rFonts w:hint="eastAsia" w:ascii="宋体" w:hAnsi="宋体" w:cs="宋体"/>
          <w:color w:val="auto"/>
          <w:kern w:val="0"/>
          <w:highlight w:val="none"/>
        </w:rPr>
        <w:t>应当对成交人信用进行核实</w:t>
      </w:r>
      <w:r>
        <w:rPr>
          <w:rFonts w:hint="eastAsia" w:ascii="宋体" w:hAnsi="宋体" w:cs="宋体"/>
          <w:color w:val="auto"/>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cs="宋体"/>
          <w:color w:val="auto"/>
          <w:highlight w:val="none"/>
        </w:rPr>
        <w:t>及相关证据与采购文件一并保存。</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33.4</w:t>
      </w:r>
      <w:r>
        <w:rPr>
          <w:rFonts w:hint="eastAsia" w:ascii="宋体" w:hAnsi="宋体" w:cs="宋体"/>
          <w:color w:val="auto"/>
          <w:highlight w:val="none"/>
        </w:rPr>
        <w:t>在发布成交公告的同时，采购代理机构向成交供应商</w:t>
      </w:r>
      <w:r>
        <w:rPr>
          <w:rFonts w:hint="eastAsia" w:ascii="宋体" w:hAnsi="宋体" w:cs="宋体"/>
          <w:color w:val="auto"/>
          <w:kern w:val="0"/>
          <w:highlight w:val="none"/>
        </w:rPr>
        <w:t>通过</w:t>
      </w:r>
      <w:r>
        <w:rPr>
          <w:rFonts w:hint="eastAsia" w:ascii="宋体" w:hAnsi="宋体" w:cs="宋体"/>
          <w:color w:val="auto"/>
          <w:highlight w:val="none"/>
        </w:rPr>
        <w:t>广西政府采购云平台</w:t>
      </w:r>
      <w:r>
        <w:rPr>
          <w:rFonts w:hint="eastAsia" w:ascii="宋体" w:hAnsi="宋体" w:cs="宋体"/>
          <w:color w:val="auto"/>
          <w:kern w:val="0"/>
          <w:highlight w:val="none"/>
        </w:rPr>
        <w:t>发出电子</w:t>
      </w:r>
      <w:r>
        <w:rPr>
          <w:rFonts w:hint="eastAsia" w:ascii="宋体" w:hAnsi="宋体" w:cs="宋体"/>
          <w:color w:val="auto"/>
          <w:highlight w:val="none"/>
        </w:rPr>
        <w:t>成交通知书。</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33.5供应商认为竞争性磋商采购文件、招标过程和成交结果使自己的权益受到损害的，可以在知道或者应知其权益受到损害之日起七个工作日内，以书面形式向招标采购单位提出质疑，并及时索要书面回执。</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34.签订合同</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highlight w:val="none"/>
        </w:rPr>
        <w:t>电子采购合同需要供应商通过有效CA证书进行电子签名与签章。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34.3如成交人不按成交通知书的规定签订合同，则按成交人违约处理，采购代理机构将没收成交人投标的全部磋商保证金并上缴同级财政国库。</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440" w:lineRule="exact"/>
        <w:rPr>
          <w:rFonts w:ascii="宋体" w:hAnsi="宋体" w:cs="宋体"/>
          <w:color w:val="auto"/>
          <w:highlight w:val="none"/>
        </w:rPr>
      </w:pPr>
      <w:r>
        <w:rPr>
          <w:rFonts w:hint="eastAsia" w:ascii="宋体" w:hAnsi="宋体" w:cs="宋体"/>
          <w:color w:val="auto"/>
          <w:szCs w:val="21"/>
          <w:highlight w:val="none"/>
        </w:rPr>
        <w:t>34.5政府采</w:t>
      </w:r>
      <w:r>
        <w:rPr>
          <w:rFonts w:hint="eastAsia" w:ascii="宋体" w:hAnsi="宋体" w:cs="宋体"/>
          <w:color w:val="auto"/>
          <w:highlight w:val="none"/>
        </w:rPr>
        <w:t>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pPr>
        <w:pStyle w:val="23"/>
        <w:snapToGrid w:val="0"/>
        <w:spacing w:line="440" w:lineRule="exact"/>
        <w:rPr>
          <w:rFonts w:hAnsi="宋体" w:cs="宋体"/>
          <w:b/>
          <w:color w:val="auto"/>
          <w:highlight w:val="none"/>
        </w:rPr>
      </w:pPr>
      <w:r>
        <w:rPr>
          <w:rFonts w:hint="eastAsia" w:hAnsi="宋体" w:cs="宋体"/>
          <w:b/>
          <w:color w:val="auto"/>
          <w:highlight w:val="none"/>
        </w:rPr>
        <w:t>34.6履约保证金</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pPr>
        <w:pStyle w:val="23"/>
        <w:snapToGrid w:val="0"/>
        <w:spacing w:line="440" w:lineRule="exact"/>
        <w:rPr>
          <w:rFonts w:hAnsi="宋体" w:cs="宋体"/>
          <w:color w:val="auto"/>
          <w:highlight w:val="none"/>
        </w:rPr>
      </w:pPr>
      <w:r>
        <w:rPr>
          <w:rFonts w:hint="eastAsia" w:hAnsi="宋体" w:cs="宋体"/>
          <w:color w:val="auto"/>
          <w:highlight w:val="none"/>
        </w:rPr>
        <w:t>34.6.3</w:t>
      </w:r>
      <w:r>
        <w:rPr>
          <w:rFonts w:hint="eastAsia" w:hAnsi="宋体" w:cs="宋体"/>
          <w:color w:val="auto"/>
          <w:sz w:val="21"/>
          <w:highlight w:val="none"/>
        </w:rPr>
        <w:t>在履约保证金退还日期前，若</w:t>
      </w:r>
      <w:r>
        <w:rPr>
          <w:rFonts w:hint="eastAsia" w:hAnsi="宋体" w:cs="宋体"/>
          <w:color w:val="auto"/>
          <w:highlight w:val="none"/>
        </w:rPr>
        <w:t>中标</w:t>
      </w:r>
      <w:r>
        <w:rPr>
          <w:rFonts w:hint="eastAsia" w:hAnsi="宋体" w:cs="宋体"/>
          <w:color w:val="auto"/>
          <w:sz w:val="21"/>
          <w:highlight w:val="none"/>
        </w:rPr>
        <w:t>供应商的开户名称、开户银行、帐号有变动的，请以书面形式通知保证金收取单位，否则由此产生的后果由</w:t>
      </w:r>
      <w:r>
        <w:rPr>
          <w:rFonts w:hint="eastAsia" w:hAnsi="宋体" w:cs="宋体"/>
          <w:color w:val="auto"/>
          <w:highlight w:val="none"/>
        </w:rPr>
        <w:t>中标</w:t>
      </w:r>
      <w:r>
        <w:rPr>
          <w:rFonts w:hint="eastAsia" w:hAnsi="宋体" w:cs="宋体"/>
          <w:color w:val="auto"/>
          <w:sz w:val="21"/>
          <w:highlight w:val="none"/>
        </w:rPr>
        <w:t>供应商自负。</w:t>
      </w:r>
    </w:p>
    <w:p>
      <w:pPr>
        <w:spacing w:line="440" w:lineRule="exact"/>
        <w:rPr>
          <w:rFonts w:ascii="宋体" w:hAnsi="宋体" w:cs="宋体"/>
          <w:b/>
          <w:bCs/>
          <w:color w:val="auto"/>
          <w:highlight w:val="none"/>
        </w:rPr>
      </w:pPr>
      <w:r>
        <w:rPr>
          <w:rFonts w:hint="eastAsia" w:ascii="宋体" w:hAnsi="宋体" w:cs="宋体"/>
          <w:b/>
          <w:bCs/>
          <w:color w:val="auto"/>
          <w:highlight w:val="none"/>
        </w:rPr>
        <w:t>六、验收</w:t>
      </w:r>
    </w:p>
    <w:p>
      <w:pPr>
        <w:spacing w:line="440" w:lineRule="exact"/>
        <w:rPr>
          <w:rFonts w:ascii="宋体" w:hAnsi="宋体" w:cs="宋体"/>
          <w:b/>
          <w:bCs/>
          <w:color w:val="auto"/>
          <w:highlight w:val="none"/>
        </w:rPr>
      </w:pPr>
      <w:r>
        <w:rPr>
          <w:rFonts w:hint="eastAsia" w:ascii="宋体" w:hAnsi="宋体" w:cs="宋体"/>
          <w:b/>
          <w:bCs/>
          <w:color w:val="auto"/>
          <w:highlight w:val="none"/>
        </w:rPr>
        <w:t>35.验收</w:t>
      </w:r>
    </w:p>
    <w:p>
      <w:pPr>
        <w:spacing w:line="440" w:lineRule="exact"/>
        <w:rPr>
          <w:rFonts w:ascii="宋体" w:hAnsi="宋体" w:cs="宋体"/>
          <w:bCs/>
          <w:color w:val="auto"/>
          <w:highlight w:val="none"/>
        </w:rPr>
      </w:pPr>
      <w:r>
        <w:rPr>
          <w:rFonts w:hint="eastAsia" w:ascii="宋体" w:hAnsi="宋体" w:cs="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440" w:lineRule="exact"/>
        <w:rPr>
          <w:rFonts w:ascii="宋体" w:hAnsi="宋体" w:cs="宋体"/>
          <w:bCs/>
          <w:color w:val="auto"/>
          <w:highlight w:val="none"/>
        </w:rPr>
      </w:pPr>
      <w:r>
        <w:rPr>
          <w:rFonts w:hint="eastAsia" w:ascii="宋体" w:hAnsi="宋体" w:cs="宋体"/>
          <w:bCs/>
          <w:color w:val="auto"/>
          <w:highlight w:val="none"/>
        </w:rPr>
        <w:t>35.2采购人可以邀请参加本项目的其他供应商或者第三方机构参与验收。参与验收的供应商或者第三方机构的意见作为验收书的参考资料一并存档。</w:t>
      </w:r>
    </w:p>
    <w:p>
      <w:pPr>
        <w:spacing w:line="440" w:lineRule="exact"/>
        <w:rPr>
          <w:rFonts w:ascii="宋体" w:hAnsi="宋体" w:cs="宋体"/>
          <w:bCs/>
          <w:color w:val="auto"/>
          <w:highlight w:val="none"/>
        </w:rPr>
      </w:pPr>
      <w:r>
        <w:rPr>
          <w:rFonts w:hint="eastAsia" w:ascii="宋体" w:hAnsi="宋体" w:cs="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440" w:lineRule="exact"/>
        <w:rPr>
          <w:rFonts w:ascii="宋体" w:hAnsi="宋体" w:cs="宋体"/>
          <w:bCs/>
          <w:color w:val="auto"/>
          <w:highlight w:val="none"/>
        </w:rPr>
      </w:pPr>
      <w:r>
        <w:rPr>
          <w:rFonts w:hint="eastAsia" w:ascii="宋体" w:hAnsi="宋体" w:cs="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440" w:lineRule="exact"/>
        <w:rPr>
          <w:rFonts w:ascii="宋体" w:hAnsi="宋体" w:cs="宋体"/>
          <w:bCs/>
          <w:color w:val="auto"/>
          <w:highlight w:val="none"/>
        </w:rPr>
      </w:pPr>
      <w:r>
        <w:rPr>
          <w:rFonts w:hint="eastAsia" w:ascii="宋体" w:hAnsi="宋体" w:cs="宋体"/>
          <w:bCs/>
          <w:color w:val="auto"/>
          <w:highlight w:val="none"/>
        </w:rPr>
        <w:t>35.5项目验收完毕，成交供应商将壹份《广西壮族自治区政府采购项目合同验收书》（格式详见附件）送采购代理机构存档。</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七、其他事项</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36.需要补充的其他内容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36.1本招标文件解释规则详见“供应商须知前附表”。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37.2其他事项详见“供应商须知前附表”。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37.成交服务费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37.1成交服务费：本项目成交服务费按</w:t>
      </w:r>
      <w:r>
        <w:rPr>
          <w:rFonts w:hint="eastAsia" w:ascii="宋体" w:hAnsi="宋体" w:cs="宋体"/>
          <w:color w:val="auto"/>
          <w:highlight w:val="none"/>
        </w:rPr>
        <w:t>《招标代理服务收费管理暂行办法》（计价格[2002]1980号）收费标准和发改办[2003]857号文规定向中标人收取</w:t>
      </w:r>
      <w:r>
        <w:rPr>
          <w:rFonts w:hint="eastAsia" w:ascii="宋体" w:hAnsi="宋体" w:cs="宋体"/>
          <w:color w:val="auto"/>
          <w:szCs w:val="21"/>
          <w:highlight w:val="none"/>
        </w:rPr>
        <w:t>。</w:t>
      </w:r>
      <w:r>
        <w:rPr>
          <w:rFonts w:hint="eastAsia" w:ascii="宋体" w:hAnsi="宋体" w:cs="宋体"/>
          <w:color w:val="auto"/>
          <w:highlight w:val="none"/>
        </w:rPr>
        <w:t>领取成交通知书时，成交人应向采购代理机构一次付清成交服务费。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4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7"/>
        <w:gridCol w:w="1808"/>
        <w:gridCol w:w="206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617" w:type="dxa"/>
            <w:tcBorders>
              <w:top w:val="single" w:color="auto" w:sz="4" w:space="0"/>
              <w:left w:val="single" w:color="auto" w:sz="4" w:space="0"/>
              <w:bottom w:val="single" w:color="auto" w:sz="4" w:space="0"/>
              <w:right w:val="single" w:color="auto" w:sz="4" w:space="0"/>
            </w:tcBorders>
          </w:tcPr>
          <w:p>
            <w:pPr>
              <w:spacing w:line="440" w:lineRule="exact"/>
              <w:ind w:firstLine="1640" w:firstLineChars="781"/>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372110</wp:posOffset>
                      </wp:positionH>
                      <wp:positionV relativeFrom="paragraph">
                        <wp:posOffset>-635</wp:posOffset>
                      </wp:positionV>
                      <wp:extent cx="1849120" cy="1120140"/>
                      <wp:effectExtent l="0" t="0" r="17780" b="22860"/>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9120" cy="112014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flip:x y;margin-left:29.3pt;margin-top:-0.05pt;height:88.2pt;width:145.6pt;z-index:251667456;mso-width-relative:page;mso-height-relative:page;" filled="f" stroked="t" coordsize="21600,21600" o:gfxdata="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zmajUAAAACAEAAA8AAAAAAAAAAQAgAAAAIgAAAGRycy9kb3ducmV2LnhtbFBL&#10;AQIUABQAAAAIAIdO4kDqjHrk+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-6350</wp:posOffset>
                      </wp:positionV>
                      <wp:extent cx="635" cy="0"/>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9pt;margin-top:-0.5pt;height:0pt;width:0.05pt;z-index:251668480;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MQqwlbm&#10;AQAAt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服务类型</w:t>
            </w:r>
          </w:p>
          <w:p>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费率　　　　　　　　</w:t>
            </w:r>
          </w:p>
          <w:p>
            <w:pPr>
              <w:spacing w:line="440" w:lineRule="exact"/>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-71755</wp:posOffset>
                      </wp:positionH>
                      <wp:positionV relativeFrom="paragraph">
                        <wp:posOffset>67945</wp:posOffset>
                      </wp:positionV>
                      <wp:extent cx="2316480" cy="491490"/>
                      <wp:effectExtent l="0" t="0" r="26670" b="22860"/>
                      <wp:wrapNone/>
                      <wp:docPr id="10"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316480" cy="49149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flip:x y;margin-left:-5.65pt;margin-top:5.35pt;height:38.7pt;width:182.4pt;z-index:251669504;mso-width-relative:page;mso-height-relative:page;" filled="f" stroked="t" coordsize="21600,21600" o:gfxdata="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WDI1AAAAAkBAAAPAAAAAAAAAAEAIAAAACIAAABkcnMvZG93bnJldi54bWxQ&#10;SwECFAAUAAAACACHTuJANIG4gPsBAADS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　　　</w:t>
            </w:r>
          </w:p>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成交金额（万元）</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货物采购</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服务采购</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5000-10000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10000-100000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pPr>
        <w:pStyle w:val="23"/>
        <w:snapToGrid w:val="0"/>
        <w:spacing w:line="440" w:lineRule="exact"/>
        <w:ind w:firstLine="411" w:firstLineChars="196"/>
        <w:rPr>
          <w:rFonts w:hAnsi="宋体" w:cs="宋体"/>
          <w:color w:val="auto"/>
          <w:kern w:val="2"/>
          <w:sz w:val="21"/>
          <w:highlight w:val="none"/>
        </w:rPr>
      </w:pPr>
      <w:r>
        <w:rPr>
          <w:rFonts w:hint="eastAsia" w:hAnsi="宋体" w:cs="宋体"/>
          <w:color w:val="auto"/>
          <w:kern w:val="2"/>
          <w:sz w:val="21"/>
          <w:highlight w:val="none"/>
        </w:rPr>
        <w:t>注：招标代理服务费收费按差额定率累进法计算。</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38.供应商信用查询相关规定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38.2信用查询截止时点：资格审查时。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38.3信用信息查询记录：“列入失信被执行人”、“重大税收违法案件当事人名单”、“政府采购严重违法失信行为记录名单”。</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38.4信用信息的使用规则：如供应商被列入“列入失信被执行人”、“重大税收违法案件当事人名单”、“政府采购严重违法失信行为记录名单”等名单内的，将按照信用信息使用规则处理。</w:t>
      </w:r>
    </w:p>
    <w:p>
      <w:pPr>
        <w:spacing w:line="440" w:lineRule="exact"/>
        <w:rPr>
          <w:rFonts w:ascii="宋体" w:hAnsi="宋体" w:cs="宋体"/>
          <w:color w:val="auto"/>
          <w:highlight w:val="none"/>
        </w:rPr>
      </w:pPr>
      <w:r>
        <w:rPr>
          <w:rFonts w:hint="eastAsia" w:ascii="宋体" w:hAnsi="宋体" w:cs="宋体"/>
          <w:color w:val="auto"/>
          <w:szCs w:val="21"/>
          <w:highlight w:val="none"/>
        </w:rPr>
        <w:t>38.5证据留存方式：</w:t>
      </w:r>
      <w:r>
        <w:rPr>
          <w:rFonts w:hint="eastAsia" w:ascii="宋体" w:hAnsi="宋体" w:cs="宋体"/>
          <w:color w:val="auto"/>
          <w:highlight w:val="none"/>
        </w:rPr>
        <w:t>在查询网站中直接截图查询记录，截图作为在广西政府采购云平台作为附件上传保存。</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39.关于中小企业的相关规定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pPr>
        <w:spacing w:line="440" w:lineRule="exact"/>
        <w:rPr>
          <w:rFonts w:ascii="宋体" w:hAnsi="宋体" w:cs="宋体"/>
          <w:color w:val="auto"/>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3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sz w:val="32"/>
          <w:szCs w:val="32"/>
          <w:highlight w:val="none"/>
        </w:rPr>
        <w:br w:type="page"/>
      </w:r>
      <w:r>
        <w:rPr>
          <w:rFonts w:hint="eastAsia" w:ascii="宋体" w:hAnsi="宋体" w:cs="宋体"/>
          <w:color w:val="auto"/>
          <w:highlight w:val="none"/>
        </w:rPr>
        <w:t>附件1：</w:t>
      </w:r>
    </w:p>
    <w:p>
      <w:pPr>
        <w:widowControl/>
        <w:shd w:val="clear" w:color="auto" w:fill="FFFFFF"/>
        <w:spacing w:line="240" w:lineRule="atLeas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pPr>
        <w:widowControl/>
        <w:shd w:val="clear" w:color="auto" w:fill="FFFFFF"/>
        <w:snapToGrid w:val="0"/>
        <w:spacing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24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pPr>
              <w:widowControl/>
              <w:spacing w:before="100" w:beforeAutospacing="1" w:after="100" w:afterAutospacing="1" w:line="24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pPr>
        <w:pStyle w:val="23"/>
        <w:snapToGrid w:val="0"/>
        <w:spacing w:line="440" w:lineRule="exact"/>
        <w:rPr>
          <w:rFonts w:hAnsi="宋体" w:cs="宋体"/>
          <w:color w:val="auto"/>
          <w:highlight w:val="none"/>
        </w:rPr>
      </w:pPr>
    </w:p>
    <w:p>
      <w:pPr>
        <w:pStyle w:val="23"/>
        <w:snapToGrid w:val="0"/>
        <w:spacing w:line="440" w:lineRule="exact"/>
        <w:rPr>
          <w:rFonts w:hAnsi="宋体" w:cs="宋体"/>
          <w:color w:val="auto"/>
          <w:highlight w:val="none"/>
        </w:rPr>
      </w:pPr>
    </w:p>
    <w:p>
      <w:pPr>
        <w:pStyle w:val="23"/>
        <w:snapToGrid w:val="0"/>
        <w:spacing w:line="440" w:lineRule="exact"/>
        <w:rPr>
          <w:rFonts w:hAnsi="宋体" w:cs="宋体"/>
          <w:color w:val="auto"/>
          <w:highlight w:val="none"/>
        </w:rPr>
      </w:pPr>
    </w:p>
    <w:p>
      <w:pPr>
        <w:pStyle w:val="4"/>
        <w:spacing w:line="440" w:lineRule="exact"/>
        <w:jc w:val="center"/>
        <w:rPr>
          <w:rFonts w:ascii="宋体" w:hAnsi="宋体" w:cs="宋体"/>
          <w:color w:val="auto"/>
          <w:sz w:val="32"/>
          <w:szCs w:val="32"/>
          <w:highlight w:val="none"/>
        </w:rPr>
      </w:pPr>
      <w:bookmarkStart w:id="27" w:name="_Toc88747293"/>
      <w:r>
        <w:rPr>
          <w:rFonts w:hint="eastAsia" w:ascii="宋体" w:hAnsi="宋体" w:cs="宋体"/>
          <w:color w:val="auto"/>
          <w:sz w:val="32"/>
          <w:szCs w:val="32"/>
          <w:highlight w:val="none"/>
        </w:rPr>
        <w:t>第三章 项目采购需求</w:t>
      </w:r>
      <w:bookmarkEnd w:id="27"/>
    </w:p>
    <w:p>
      <w:pPr>
        <w:widowControl/>
        <w:spacing w:line="440" w:lineRule="exact"/>
        <w:outlineLvl w:val="0"/>
        <w:rPr>
          <w:rFonts w:ascii="宋体" w:hAnsi="宋体" w:cs="宋体"/>
          <w:color w:val="auto"/>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rPr>
        <w:br w:type="textWrapping"/>
      </w:r>
      <w:r>
        <w:rPr>
          <w:rFonts w:hint="eastAsia" w:ascii="宋体" w:hAnsi="宋体" w:cs="宋体"/>
          <w:b/>
          <w:color w:val="auto"/>
          <w:highlight w:val="none"/>
        </w:rPr>
        <w:t>▲一、</w:t>
      </w:r>
      <w:r>
        <w:rPr>
          <w:rFonts w:hint="eastAsia" w:ascii="宋体" w:hAnsi="宋体" w:cs="宋体"/>
          <w:color w:val="auto"/>
          <w:highlight w:val="none"/>
        </w:rPr>
        <w:t>本需求表中标注“▲”的条款均为实质性要求或条件，供应商必须作出满足或者优于该要求和条件的承诺（另有要求的除外），否则投标无效。未标注“▲”的</w:t>
      </w:r>
      <w:bookmarkStart w:id="28" w:name="OLE_LINK2"/>
      <w:r>
        <w:rPr>
          <w:rFonts w:hint="eastAsia" w:ascii="宋体" w:hAnsi="宋体" w:cs="宋体"/>
          <w:color w:val="auto"/>
          <w:highlight w:val="none"/>
        </w:rPr>
        <w:t>条款发生负偏离或不响应</w:t>
      </w:r>
      <w:bookmarkEnd w:id="28"/>
      <w:r>
        <w:rPr>
          <w:rFonts w:hint="eastAsia" w:ascii="宋体" w:hAnsi="宋体" w:cs="宋体"/>
          <w:color w:val="auto"/>
          <w:highlight w:val="none"/>
        </w:rPr>
        <w:t>达</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项（含）以上的，</w:t>
      </w:r>
      <w:r>
        <w:rPr>
          <w:rFonts w:hint="eastAsia" w:ascii="宋体" w:hAnsi="宋体" w:cs="宋体"/>
          <w:b/>
          <w:bCs/>
          <w:color w:val="auto"/>
          <w:szCs w:val="21"/>
          <w:highlight w:val="none"/>
        </w:rPr>
        <w:t>响应文件按无效处理</w:t>
      </w:r>
      <w:r>
        <w:rPr>
          <w:rFonts w:hint="eastAsia" w:ascii="宋体" w:hAnsi="宋体" w:cs="宋体"/>
          <w:color w:val="auto"/>
          <w:highlight w:val="none"/>
        </w:rPr>
        <w:t>。</w:t>
      </w:r>
    </w:p>
    <w:p>
      <w:pPr>
        <w:spacing w:line="440" w:lineRule="exact"/>
        <w:rPr>
          <w:rFonts w:ascii="宋体" w:hAnsi="宋体" w:cs="宋体"/>
          <w:b/>
          <w:color w:val="auto"/>
          <w:szCs w:val="21"/>
          <w:highlight w:val="none"/>
        </w:rPr>
      </w:pPr>
      <w:r>
        <w:rPr>
          <w:rFonts w:hint="eastAsia" w:ascii="宋体" w:hAnsi="宋体" w:cs="宋体"/>
          <w:b/>
          <w:color w:val="auto"/>
          <w:highlight w:val="none"/>
        </w:rPr>
        <w:t>▲二、</w:t>
      </w:r>
      <w:r>
        <w:rPr>
          <w:rFonts w:hint="eastAsia" w:ascii="宋体" w:hAnsi="宋体" w:cs="宋体"/>
          <w:color w:val="auto"/>
          <w:szCs w:val="21"/>
          <w:highlight w:val="none"/>
        </w:rPr>
        <w:t>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。如本项目包含的配套货物属于品目清单内非标注“★”的产品时，应优先采购，具体详见“第四章评审程序、评审方法和评审标准”。</w:t>
      </w:r>
    </w:p>
    <w:p>
      <w:pPr>
        <w:spacing w:line="440" w:lineRule="exact"/>
        <w:rPr>
          <w:rFonts w:ascii="宋体" w:hAnsi="宋体" w:cs="宋体"/>
          <w:color w:val="auto"/>
          <w:highlight w:val="none"/>
        </w:rPr>
      </w:pPr>
      <w:r>
        <w:rPr>
          <w:rFonts w:hint="eastAsia" w:ascii="宋体" w:hAnsi="宋体" w:cs="宋体"/>
          <w:color w:val="auto"/>
          <w:highlight w:val="none"/>
        </w:rPr>
        <w:t>▲三、服务项目中包含货物的，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pPr>
        <w:widowControl/>
        <w:spacing w:line="440" w:lineRule="exact"/>
        <w:jc w:val="left"/>
        <w:rPr>
          <w:rFonts w:ascii="宋体" w:hAnsi="宋体" w:cs="宋体"/>
          <w:color w:val="auto"/>
          <w:kern w:val="0"/>
          <w:sz w:val="24"/>
          <w:highlight w:val="none"/>
        </w:rPr>
      </w:pPr>
    </w:p>
    <w:p>
      <w:pPr>
        <w:widowControl/>
        <w:spacing w:line="440" w:lineRule="exact"/>
        <w:jc w:val="left"/>
        <w:rPr>
          <w:rFonts w:ascii="宋体" w:hAnsi="宋体" w:cs="宋体"/>
          <w:color w:val="auto"/>
          <w:kern w:val="0"/>
          <w:sz w:val="24"/>
          <w:highlight w:val="none"/>
        </w:rPr>
      </w:pPr>
    </w:p>
    <w:p>
      <w:pPr>
        <w:rPr>
          <w:rFonts w:ascii="宋体" w:hAnsi="宋体" w:cs="宋体"/>
          <w:color w:val="auto"/>
          <w:highlight w:val="none"/>
        </w:rPr>
      </w:pPr>
      <w:r>
        <w:rPr>
          <w:rFonts w:hint="eastAsia" w:ascii="宋体" w:hAnsi="宋体" w:cs="宋体"/>
          <w:color w:val="auto"/>
          <w:kern w:val="0"/>
          <w:sz w:val="24"/>
          <w:highlight w:val="none"/>
        </w:rPr>
        <w:br w:type="page"/>
      </w: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标项一</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55"/>
        <w:gridCol w:w="90"/>
        <w:gridCol w:w="906"/>
        <w:gridCol w:w="762"/>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55" w:type="dxa"/>
            <w:vAlign w:val="center"/>
          </w:tcPr>
          <w:p>
            <w:pPr>
              <w:tabs>
                <w:tab w:val="left" w:pos="180"/>
                <w:tab w:val="left" w:pos="1620"/>
              </w:tabs>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96" w:type="dxa"/>
            <w:gridSpan w:val="2"/>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762"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广西农药数字监管平台运维服务</w:t>
            </w:r>
          </w:p>
        </w:tc>
        <w:tc>
          <w:tcPr>
            <w:tcW w:w="996" w:type="dxa"/>
            <w:gridSpan w:val="2"/>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62"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提供维护服务，建设运行维护管理体系、制度规范，并明确服务对象、服务内容，保证广西农药数字监管平台的正常运营。</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（一）广西农药数字监管平台软件系统运维服务</w:t>
            </w:r>
          </w:p>
          <w:p>
            <w:pPr>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包括日常</w:t>
            </w:r>
            <w:r>
              <w:rPr>
                <w:rFonts w:hint="eastAsia" w:ascii="宋体" w:hAnsi="宋体" w:eastAsia="宋体" w:cs="宋体"/>
                <w:color w:val="auto"/>
                <w:szCs w:val="21"/>
                <w:highlight w:val="none"/>
                <w:lang w:eastAsia="zh-CN"/>
              </w:rPr>
              <w:t>工作</w:t>
            </w:r>
            <w:r>
              <w:rPr>
                <w:rFonts w:hint="eastAsia" w:ascii="宋体" w:hAnsi="宋体" w:eastAsia="宋体" w:cs="宋体"/>
                <w:color w:val="auto"/>
                <w:szCs w:val="21"/>
                <w:highlight w:val="none"/>
              </w:rPr>
              <w:t>运维服务、系统故障处理</w:t>
            </w:r>
            <w:r>
              <w:rPr>
                <w:rFonts w:hint="eastAsia" w:ascii="宋体" w:hAnsi="宋体" w:eastAsia="宋体" w:cs="宋体"/>
                <w:color w:val="auto"/>
                <w:szCs w:val="21"/>
                <w:highlight w:val="none"/>
                <w:lang w:eastAsia="zh-CN"/>
              </w:rPr>
              <w:t>、服务器运行状况监控和管理、进行缺陷处理、环境变更处理、软件重新安装服务、数据检查、处理与加工服务、系统账号服务</w:t>
            </w:r>
            <w:r>
              <w:rPr>
                <w:rFonts w:hint="eastAsia" w:ascii="宋体" w:hAnsi="宋体" w:eastAsia="宋体" w:cs="宋体"/>
                <w:color w:val="auto"/>
                <w:szCs w:val="21"/>
                <w:highlight w:val="none"/>
              </w:rPr>
              <w:t>等。</w:t>
            </w:r>
            <w:r>
              <w:rPr>
                <w:rFonts w:hint="eastAsia" w:ascii="宋体" w:hAnsi="宋体" w:eastAsia="宋体" w:cs="宋体"/>
                <w:b/>
                <w:bCs/>
                <w:color w:val="auto"/>
                <w:szCs w:val="21"/>
                <w:highlight w:val="none"/>
              </w:rPr>
              <w:t>具体需求：广西农药进销存台账软件在合同服务期间开放新用户免费注册，并对新用户进销存台账数据进行维护。</w:t>
            </w:r>
          </w:p>
          <w:p>
            <w:pPr>
              <w:spacing w:line="440" w:lineRule="exact"/>
              <w:ind w:firstLine="422" w:firstLineChars="200"/>
              <w:rPr>
                <w:rFonts w:hint="default" w:ascii="Times New Roman" w:hAnsi="Times New Roman" w:eastAsia="宋体" w:cs="Times New Roman"/>
                <w:b w:val="0"/>
                <w:bCs w:val="0"/>
                <w:color w:val="auto"/>
                <w:szCs w:val="21"/>
                <w:highlight w:val="none"/>
                <w:lang w:eastAsia="zh-CN"/>
              </w:rPr>
            </w:pP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系统故障处理</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val="0"/>
                <w:bCs w:val="0"/>
                <w:color w:val="auto"/>
                <w:szCs w:val="21"/>
                <w:highlight w:val="none"/>
                <w:lang w:eastAsia="zh-CN"/>
              </w:rPr>
              <w:t>对于系统运行过程的异常进行原因分析和故障排除，以恢复业务优先，及时对存在的缺陷进行处理。平台包含平台门户、农药登记试验单位数据填报系统、农药生产企业数据填报系统、广西农资进销存系统、数据上报接口服务等5子系统，涉及功能点约1000个。</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2.服务器运行状况监控和管理。</w:t>
            </w:r>
            <w:r>
              <w:rPr>
                <w:rFonts w:hint="eastAsia" w:ascii="Times New Roman" w:hAnsi="Times New Roman" w:eastAsia="宋体" w:cs="Times New Roman"/>
                <w:b w:val="0"/>
                <w:bCs w:val="0"/>
                <w:color w:val="auto"/>
                <w:szCs w:val="21"/>
                <w:highlight w:val="none"/>
                <w:lang w:val="en-US" w:eastAsia="zh-CN"/>
              </w:rPr>
              <w:t>对网络设备、服务器设备、操作系统、应用系统运行状况进行监控和管理，保证系统正常使用。平台包含2台服务器、5个应用程序服务、3个数据库。运行状况监控和管理主要是对服务器软硬件及网络环境进行定期、不定期地监控与维护管理，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3.进行缺陷处理。</w:t>
            </w:r>
            <w:r>
              <w:rPr>
                <w:rFonts w:hint="eastAsia" w:ascii="Times New Roman" w:hAnsi="Times New Roman" w:eastAsia="宋体" w:cs="Times New Roman"/>
                <w:b w:val="0"/>
                <w:bCs w:val="0"/>
                <w:color w:val="auto"/>
                <w:szCs w:val="21"/>
                <w:highlight w:val="none"/>
                <w:lang w:val="en-US" w:eastAsia="zh-CN"/>
              </w:rPr>
              <w:t>现有系统存在的问题，提供修复和避免措施的服务。</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4.环境变更处理。</w:t>
            </w:r>
            <w:r>
              <w:rPr>
                <w:rFonts w:hint="eastAsia" w:ascii="Times New Roman" w:hAnsi="Times New Roman" w:eastAsia="宋体" w:cs="Times New Roman"/>
                <w:b w:val="0"/>
                <w:bCs w:val="0"/>
                <w:color w:val="auto"/>
                <w:szCs w:val="21"/>
                <w:highlight w:val="none"/>
                <w:lang w:val="en-US" w:eastAsia="zh-CN"/>
              </w:rPr>
              <w:t>提供系统环境变更服务，包括系统迁移。</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5.软件重新安装服务。</w:t>
            </w:r>
            <w:r>
              <w:rPr>
                <w:rFonts w:hint="eastAsia" w:ascii="Times New Roman" w:hAnsi="Times New Roman" w:eastAsia="宋体" w:cs="Times New Roman"/>
                <w:b w:val="0"/>
                <w:bCs w:val="0"/>
                <w:color w:val="auto"/>
                <w:szCs w:val="21"/>
                <w:highlight w:val="none"/>
                <w:lang w:val="en-US" w:eastAsia="zh-CN"/>
              </w:rPr>
              <w:t>提供软件重装服务，实现软件的升级、适配。</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6.提供数据检查与处理服务。</w:t>
            </w:r>
            <w:r>
              <w:rPr>
                <w:rFonts w:hint="eastAsia" w:ascii="Times New Roman" w:hAnsi="Times New Roman" w:eastAsia="宋体" w:cs="Times New Roman"/>
                <w:b w:val="0"/>
                <w:bCs w:val="0"/>
                <w:color w:val="auto"/>
                <w:szCs w:val="21"/>
                <w:highlight w:val="none"/>
                <w:lang w:val="en-US" w:eastAsia="zh-CN"/>
              </w:rPr>
              <w:t>对异常数据进行修正处理。</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7.提供数据加工服务。</w:t>
            </w:r>
            <w:r>
              <w:rPr>
                <w:rFonts w:hint="eastAsia" w:ascii="Times New Roman" w:hAnsi="Times New Roman" w:eastAsia="宋体" w:cs="Times New Roman"/>
                <w:b w:val="0"/>
                <w:bCs w:val="0"/>
                <w:color w:val="auto"/>
                <w:szCs w:val="21"/>
                <w:highlight w:val="none"/>
                <w:lang w:val="en-US" w:eastAsia="zh-CN"/>
              </w:rPr>
              <w:t>根据用户需求对原有数据进行加工处理，增加计算指标，形成分析报告，实现数据的分析和导出。</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8.系统账号服务。</w:t>
            </w:r>
            <w:r>
              <w:rPr>
                <w:rFonts w:hint="eastAsia" w:ascii="Times New Roman" w:hAnsi="Times New Roman" w:eastAsia="宋体" w:cs="Times New Roman"/>
                <w:b w:val="0"/>
                <w:bCs w:val="0"/>
                <w:color w:val="auto"/>
                <w:szCs w:val="21"/>
                <w:highlight w:val="none"/>
                <w:lang w:val="en-US" w:eastAsia="zh-CN"/>
              </w:rPr>
              <w:t>提供账号处理快速响应服务，包括用户账号的新增、修改、密码重置等服务。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（二）广西农药数字监管平台软件系统应用系统安全服务</w:t>
            </w:r>
          </w:p>
          <w:p>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在平台运行维护阶段，实施风险评估以识别系统面临的不断变化的风险和脆弱性，并通过有效的安全措施干预，确保平台系统能够应对安全风险。项目平台要保证用户数据传输、使用、储存等过程的安全。</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1.安全监控。</w:t>
            </w:r>
            <w:r>
              <w:rPr>
                <w:rFonts w:hint="default" w:ascii="Times New Roman" w:hAnsi="Times New Roman" w:eastAsia="宋体" w:cs="Times New Roman"/>
                <w:color w:val="auto"/>
                <w:szCs w:val="21"/>
                <w:highlight w:val="none"/>
                <w:lang w:val="en-US" w:eastAsia="zh-CN"/>
              </w:rPr>
              <w:t>根据风险评估结果进行系统安全调优服务，根据系统运行需要实时调整各类设备及系统配置、合理规划系统资源、消除系统漏洞，提高系统稳定性和可靠性。</w:t>
            </w:r>
          </w:p>
          <w:p>
            <w:pPr>
              <w:spacing w:line="440" w:lineRule="exact"/>
              <w:ind w:firstLine="422"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2.主动安全加固服务。</w:t>
            </w:r>
            <w:r>
              <w:rPr>
                <w:rFonts w:hint="default" w:ascii="Times New Roman" w:hAnsi="Times New Roman" w:eastAsia="宋体" w:cs="Times New Roman"/>
                <w:color w:val="auto"/>
                <w:szCs w:val="21"/>
                <w:highlight w:val="none"/>
                <w:lang w:val="en-US" w:eastAsia="zh-CN"/>
              </w:rPr>
              <w:t>在未出现安全事故之前就对已经通报或者暴露出来的软件漏洞或最新病毒库更新，就主动进计划的升级和改进，从而避免出现安全事故</w:t>
            </w:r>
            <w:r>
              <w:rPr>
                <w:rFonts w:hint="eastAsia" w:ascii="Times New Roman" w:hAnsi="Times New Roman" w:eastAsia="宋体" w:cs="Times New Roman"/>
                <w:color w:val="auto"/>
                <w:szCs w:val="21"/>
                <w:highlight w:val="none"/>
                <w:lang w:val="en-US" w:eastAsia="zh-CN"/>
              </w:rPr>
              <w:t>。</w:t>
            </w:r>
          </w:p>
          <w:p>
            <w:pPr>
              <w:spacing w:line="440" w:lineRule="exact"/>
              <w:ind w:firstLine="422"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3.网络安全监控服务。</w:t>
            </w:r>
            <w:r>
              <w:rPr>
                <w:rFonts w:hint="eastAsia" w:ascii="Times New Roman" w:hAnsi="Times New Roman" w:eastAsia="宋体" w:cs="Times New Roman"/>
                <w:color w:val="auto"/>
                <w:szCs w:val="21"/>
                <w:highlight w:val="none"/>
                <w:lang w:val="en-US" w:eastAsia="zh-CN"/>
              </w:rPr>
              <w:t>对服务内容进行监控，在安全环境发生变化时，及时更新安全策略，在现有设备和网络情况有改变的时候，快速制定针对更新后设备华景的安全策略，并实施部署，避免因外部环境变更带来的安全风险。</w:t>
            </w:r>
          </w:p>
          <w:p>
            <w:pPr>
              <w:spacing w:line="440" w:lineRule="exact"/>
              <w:ind w:firstLine="422" w:firstLineChars="200"/>
              <w:rPr>
                <w:rFonts w:hint="default" w:ascii="宋体" w:hAnsi="宋体" w:eastAsia="宋体" w:cs="宋体"/>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4.数据/存储/容灾服务。</w:t>
            </w:r>
            <w:r>
              <w:rPr>
                <w:rFonts w:hint="eastAsia" w:ascii="Times New Roman" w:hAnsi="Times New Roman" w:eastAsia="宋体" w:cs="Times New Roman"/>
                <w:color w:val="auto"/>
                <w:szCs w:val="21"/>
                <w:highlight w:val="none"/>
                <w:lang w:val="en-US" w:eastAsia="zh-CN"/>
              </w:rPr>
              <w:t>对系统和业务数据进行统一存储、备份和恢复。目前广西农药数字监管平台数据量约为3000万，预计每年增加800万。</w:t>
            </w:r>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）广西农药数字监管平台软件系统调优</w:t>
            </w:r>
            <w:r>
              <w:rPr>
                <w:rFonts w:hint="eastAsia" w:ascii="宋体" w:hAnsi="宋体" w:eastAsia="宋体" w:cs="宋体"/>
                <w:color w:val="auto"/>
                <w:szCs w:val="21"/>
                <w:highlight w:val="none"/>
                <w:lang w:eastAsia="zh-CN"/>
              </w:rPr>
              <w:t>服务</w:t>
            </w:r>
          </w:p>
          <w:p>
            <w:pPr>
              <w:spacing w:line="440" w:lineRule="exact"/>
              <w:ind w:firstLine="422" w:firstLineChars="200"/>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提供功能优化服务。</w:t>
            </w:r>
            <w:r>
              <w:rPr>
                <w:rFonts w:hint="default" w:ascii="Times New Roman" w:hAnsi="Times New Roman" w:eastAsia="宋体" w:cs="Times New Roman"/>
                <w:color w:val="auto"/>
                <w:szCs w:val="21"/>
                <w:highlight w:val="none"/>
              </w:rPr>
              <w:t>增强系统功能，提升数据填报、数据治理、数据服务、数据应用、系统运维的便利性、全面性、准确性。对系统部分模块进行调优</w:t>
            </w:r>
            <w:r>
              <w:rPr>
                <w:rFonts w:hint="default" w:ascii="Times New Roman" w:hAnsi="Times New Roman" w:eastAsia="宋体" w:cs="Times New Roman"/>
                <w:color w:val="auto"/>
                <w:szCs w:val="21"/>
                <w:highlight w:val="none"/>
                <w:lang w:eastAsia="zh-CN"/>
              </w:rPr>
              <w:t>。</w:t>
            </w:r>
          </w:p>
          <w:p>
            <w:pPr>
              <w:spacing w:line="440" w:lineRule="exact"/>
              <w:ind w:firstLine="422" w:firstLineChars="200"/>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具体需求：</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（1）新增功能：支持导出全区范围内经过条件筛选的农药进销存台账数据；</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（2）优化台账补录机制：将补充登记时限由原30天延长至365天，提升台账管理灵活性。</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（3）完善账号注册规范：强制使用农药经营许可证号作为注册账号，并将统一社会信用代码设为唯一标识字段，防止出现同一营业执照办理多张经营许可证或者同一许可证注册多个系统账号；</w:t>
            </w:r>
          </w:p>
          <w:p>
            <w:pPr>
              <w:spacing w:line="440" w:lineRule="exact"/>
              <w:ind w:firstLine="422" w:firstLineChars="200"/>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（4）强化限用农药销售登记要求，必填字段包括：销售农药名称，数量，时间，购买人姓名、身份证号码、电话号码、施用对象；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）广西农药数字监管平台数据技术支持服务</w:t>
            </w:r>
          </w:p>
          <w:p>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由于平台系统所面对的是广西全区的农药生产经营和监管用户，平台的庞大性、复杂性和集成性，使得系统的售后服务在实施中显得非常重要。需要专业的技术团队提供技术服务支持，满足各系统用户日常需用中的技术协助需求。</w:t>
            </w:r>
          </w:p>
          <w:p>
            <w:pPr>
              <w:spacing w:line="44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技术支持服务</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color w:val="auto"/>
                <w:szCs w:val="21"/>
                <w:highlight w:val="none"/>
              </w:rPr>
              <w:t>提供远程客服服务，为使用部门提供电话咨询、即时通讯工具咨询、远程技术服务、现场服务。广西农药数字监管平台用户包括农业农村厅处室、直属机关单位、农药生产企业、农药登记试验单位、农药经营单位、农药使用单位用户，用户数约2万个。</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2.技术咨询服务。</w:t>
            </w:r>
            <w:r>
              <w:rPr>
                <w:rFonts w:hint="default" w:ascii="Times New Roman" w:hAnsi="Times New Roman" w:eastAsia="宋体" w:cs="Times New Roman"/>
                <w:color w:val="auto"/>
                <w:szCs w:val="21"/>
                <w:highlight w:val="none"/>
                <w:lang w:val="en-US" w:eastAsia="zh-CN"/>
              </w:rPr>
              <w:t>为系统的技术分析、升级改造提供技术咨询支持，为信息化项目提供咨询服务，协助信息中心到各个部门调研需求并提供相应的需求报告。保证广西农药数字监管系统的数据上报接口稳定运行，协助第三方软件服务商完成平台技术对接和数据上报，为区、市、县农业农村部门及农药生产经营企业提供平台技术咨询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）广西农药数字监管平台数据对接服务</w:t>
            </w:r>
          </w:p>
          <w:p>
            <w:pPr>
              <w:spacing w:line="440" w:lineRule="exact"/>
              <w:ind w:firstLine="422"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
                <w:bCs/>
                <w:color w:val="auto"/>
                <w:szCs w:val="21"/>
                <w:highlight w:val="none"/>
                <w:lang w:val="en-US" w:eastAsia="zh-CN"/>
              </w:rPr>
              <w:t>1.数据对接服务。</w:t>
            </w:r>
            <w:r>
              <w:rPr>
                <w:rFonts w:hint="default" w:ascii="Times New Roman" w:hAnsi="Times New Roman" w:eastAsia="宋体" w:cs="Times New Roman"/>
                <w:color w:val="auto"/>
                <w:szCs w:val="21"/>
                <w:highlight w:val="none"/>
              </w:rPr>
              <w:t>与第三方台账软件服务商对接平台数据对接服务接口，协助完成技术对接和数据上报。</w:t>
            </w:r>
            <w:r>
              <w:rPr>
                <w:rFonts w:hint="default" w:ascii="Times New Roman" w:hAnsi="Times New Roman" w:eastAsia="宋体" w:cs="Times New Roman"/>
                <w:color w:val="auto"/>
                <w:szCs w:val="21"/>
                <w:highlight w:val="none"/>
                <w:lang w:eastAsia="zh-CN"/>
              </w:rPr>
              <w:t>同时，提供数据接口，对接大数据局。</w:t>
            </w:r>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（六）广西农药数字监管平台用户培训服务</w:t>
            </w:r>
          </w:p>
          <w:p>
            <w:pPr>
              <w:spacing w:line="440" w:lineRule="exact"/>
              <w:ind w:firstLine="422" w:firstLineChars="200"/>
              <w:rPr>
                <w:rFonts w:ascii="宋体" w:hAnsi="宋体" w:cs="宋体"/>
                <w:color w:val="auto"/>
                <w:szCs w:val="21"/>
                <w:highlight w:val="none"/>
              </w:rPr>
            </w:pPr>
            <w:r>
              <w:rPr>
                <w:rFonts w:hint="default" w:ascii="Times New Roman" w:hAnsi="Times New Roman" w:eastAsia="宋体" w:cs="Times New Roman"/>
                <w:b/>
                <w:bCs/>
                <w:color w:val="auto"/>
                <w:szCs w:val="21"/>
                <w:highlight w:val="none"/>
                <w:lang w:val="en-US" w:eastAsia="zh-CN"/>
              </w:rPr>
              <w:t>1.操作人员培训</w:t>
            </w:r>
            <w:r>
              <w:rPr>
                <w:rFonts w:hint="eastAsia" w:ascii="Times New Roman" w:hAnsi="Times New Roman" w:eastAsia="宋体" w:cs="Times New Roman"/>
                <w:b/>
                <w:bCs/>
                <w:color w:val="auto"/>
                <w:szCs w:val="21"/>
                <w:highlight w:val="none"/>
                <w:lang w:val="en-US" w:eastAsia="zh-CN"/>
              </w:rPr>
              <w:t>服务</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eastAsia="宋体" w:cs="Times New Roman"/>
                <w:b w:val="0"/>
                <w:bCs w:val="0"/>
                <w:color w:val="auto"/>
                <w:szCs w:val="21"/>
                <w:highlight w:val="none"/>
                <w:lang w:val="en-US" w:eastAsia="zh-CN"/>
              </w:rPr>
              <w:t>相关业务部门由于人员变换需要培训的由公司安排技术人员培训指导，同时负责系统现有用户应用层面的普及性技术与使用培训服务。采用线上培训与线下培训相结合的形式，培训对象包括管理人员、各行政区划业务人员、生产经营企业用户</w:t>
            </w:r>
            <w:r>
              <w:rPr>
                <w:rFonts w:hint="default" w:ascii="Times New Roman" w:hAnsi="Times New Roman" w:eastAsia="宋体" w:cs="Times New Roman"/>
                <w:b w:val="0"/>
                <w:bCs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bookmarkStart w:id="29" w:name="OLE_LINK1" w:colFirst="0" w:colLast="1"/>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19"/>
              <w:spacing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1.合同履行期限：自合同签订之日起1年；</w:t>
            </w:r>
          </w:p>
          <w:p>
            <w:pPr>
              <w:pStyle w:val="19"/>
              <w:spacing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30" w:name="OLE_LINK76"/>
            <w:r>
              <w:rPr>
                <w:rFonts w:hint="eastAsia" w:ascii="宋体" w:hAnsi="宋体" w:cs="宋体"/>
                <w:bCs/>
                <w:color w:val="auto"/>
                <w:szCs w:val="21"/>
                <w:highlight w:val="none"/>
              </w:rPr>
              <w:t>采购人应于合同签订后20个工作日内，向成交供应商支付30%的合同款;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31" w:name="OLE_LINK77"/>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（2）服务期内提供7×24小时电话技术支持（包含电话、邮件、远程桌面支持等）</w:t>
            </w:r>
            <w:r>
              <w:rPr>
                <w:rFonts w:hint="eastAsia" w:ascii="宋体" w:hAnsi="宋体" w:cs="宋体"/>
                <w:color w:val="auto"/>
                <w:szCs w:val="21"/>
                <w:highlight w:val="none"/>
                <w:lang w:eastAsia="zh-CN"/>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（3）接到故障通知后，工作日2小时内到现场，非工作日时间4小时内到达现场。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213"/>
              <w:spacing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p>
        </w:tc>
      </w:tr>
      <w:bookmarkEnd w:id="29"/>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标项二</w:t>
      </w:r>
    </w:p>
    <w:tbl>
      <w:tblPr>
        <w:tblStyle w:val="41"/>
        <w:tblW w:w="10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111"/>
        <w:gridCol w:w="588"/>
        <w:gridCol w:w="300"/>
        <w:gridCol w:w="699"/>
        <w:gridCol w:w="7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6"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11" w:type="dxa"/>
            <w:vAlign w:val="center"/>
          </w:tcPr>
          <w:p>
            <w:pPr>
              <w:tabs>
                <w:tab w:val="left" w:pos="180"/>
                <w:tab w:val="left" w:pos="1620"/>
              </w:tabs>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888" w:type="dxa"/>
            <w:gridSpan w:val="2"/>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99"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7497"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6"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广西农业农村厅协同办公系统平台运维服务</w:t>
            </w:r>
          </w:p>
        </w:tc>
        <w:tc>
          <w:tcPr>
            <w:tcW w:w="888" w:type="dxa"/>
            <w:gridSpan w:val="2"/>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99"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7497" w:type="dxa"/>
            <w:vAlign w:val="center"/>
          </w:tcPr>
          <w:tbl>
            <w:tblPr>
              <w:tblStyle w:val="41"/>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98"/>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996"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运维服务子项目/子系统</w:t>
                  </w:r>
                </w:p>
              </w:tc>
              <w:tc>
                <w:tcPr>
                  <w:tcW w:w="3582"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主要运维服务内容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1</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驻场服务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1.1</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驻场运维</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驻场技术支持和运维工程师各1名，提供协同办公系统等多个政务系统驻场调试、运维服务，保障协同办公系统运行平稳，确保在全区73个单位和14个地市农业局的电子公文业务流转正常；满足南宁市多个包括青山路办公区、七星路办公区、新民路办公区技术支持、维护、系统调整量巨大和上门业务培训及指导频繁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（2）驻场人员和运维工程师，依需对系统进行优化和调整，根据不同批次的国产电脑等设备，实地进行安装、测试和调试。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（3）在平台运维期间，提供7*24小时系统故障处理、优化运维、数据运维等保障。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w:t>
                  </w:r>
                </w:p>
              </w:tc>
              <w:tc>
                <w:tcPr>
                  <w:tcW w:w="996"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日常运维监控服务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（1）数据纠错：通过技术手段或人工处理的方式，查找出因软件系统程序原因或用户操作失误引起的错误业务数据项，并对错误数据项及时做纠正处理。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（2）日常维护：根据用户要求完成必要的数据调整，通过软件系统后台程序及操作软件系统数据库完成调整；根据用户要求的参数指标，通过软件系统数据库对软件系统产生的业务数据进行统计生成报表。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（3）系统巡检：按照软件系统巡检方案进行每日的对协同办公系统（PC端和移动端，共计15个大功能模块）软件系统进行例行巡检；按照农业厅具体要求，完成特殊时期的驻地值守、系统监控等运维服务任务。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（4）接口维护：开发用户或厂家需要的接口程序（包括功能接口、数据接口），以及相关的调整、联调、配合工作；对已开发在用的接口程序（包括功能接口、数据接口），进行功能性维护、性能优化维护等。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数据监控：对数据生产、同步、展示过程进行监控，确保数据处理流程正常运行；监控数据生产变化情况，及时分析异常，并及时向农业信息中心技术处通报；监控互联网端与政务外网端每日数据的比对结果，分析差异情况，及时进行修正；检查应用系统的数据准确性，确保数据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1.3</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培训服务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（1）提供各种类型用户培训。包括普通用户培训、管理员培训、单位领导用户培训。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针对新员工以及职位调动的人员需要提供特殊用户培训的方案来解决存在的问题。特殊用户培训，主要针对维护期内新进员工或调岗、换岗员工，维护项目组有针对性讲解系统基本原理和架构，以及基本操作，加深他们对系统认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（3）运维项目组提供各种类型用户的系统操作手册、演示PPT，并制作动画教程，帮助用户尽快掌握系统的操作方法。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（4）为用户总结各种操作技巧，编制操作技巧大全，提高用户使用习惯。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电话咨询、QQ、微信、远程协助支持服务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（1）提供电话咨询、QQ、微信、远程协助支持服务。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（2）对客户指定业务进行全面解答，并利用自身行业经验对客户业务调整、改造提出合理化建议。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（3）开展与客户的业务支持，配合客户完成业务调整需求方案。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1.5</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文档编写服务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（1）每周提交对内工作周报和对外工作周报（视客户要求而定）。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（2）每月提供系统检测分析报告。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（3）每月提供服务报告,内容包括每月服务内容和系统的巡检情况。并根据服务器巡检情况，提出系统运行报告最终总结同时给出系统调整建议。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（4）每月提供公文流转报表统计及分析（包括每月新增的公文数、文件归档数）。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（5）对系统进行重大更新、数据处理、升级等操作，需要向用户提供完整的解决方案和风险评估报告。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2</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系统运维保障服务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2.1</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协同办公系统服务器端维护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（1）协同系统服务器代码的备份，服务器软硬件及网络环境进行定期、不定期地监控与维护管理。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（2）每周对协同系统进行检测，检查系统各项服务是否正常。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（3）协同系统的补丁更新及测试，确保更新正常。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（4）台帐记录：针对每次的服务器代码修改、功能调整或更改服务器设置，都需要记录在服务器台帐中。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（5）定期检查系统的数据、文件等占用服务器资源情况，根据用户需求做出分析与报告。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（6）做好系统安全维护工作和数据备份工作，包括协同系统数据库备份，以及系统的正文附件的备份和数据归档至相关档案系统。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（7）全面掌握系统环境和功能，记录协同系统对应服务器及相关设备的配置信息，并存档保存，如有变动需及时更新。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（8）对中间件进行例行巡检，对中间件服务器进行参数调整。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（9）定期数据库检查，调整数据库参数。对数据库进行紧缩优化，清理数据库日志文件。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（10）系统数据备份,针对不同的数据制定并执行完善的备份方案，配合客户实施数据恢复演练。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2.2</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协同办公系统电脑及移动APP客户端维护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（1）日常客户端使用故障的判断和解决。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（2）提供协同的使用技巧（不定期提供同版本的其它用户或新发现故障的解决办法和使用技巧）。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（3）重要岗位的客户端机器上出现协同使用的问题时，及时现场服务。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（4）对公文流转全过程进行维护。需要特殊处理公文流转步骤，给予优先解决。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（5）根据用户不同的客户端环境分别进行设置，保证客户端正常使用。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（6）解决日常用户在使用系统中出现的其他操作问题。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2.3</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系统功能模块维护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对个人中心、我的公文、公文管理、公文共享交换、公文查询、厅领导活动、会议专区、归档文件、办文统计、短信管理、流程管理、系统管理、统一用户身份认证模块等功能模块维护。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2.4</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推广服务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（1）协助用户进行系统推广工作，制定推广计划，实施推广服务。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（2）根据收集的用户意见，提出有针对性的建议或解决方案。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（3）解答各部门提出的协同使用问题和网络故障等技术问题。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（4）组织讨论当前各部门的使用情况、意见和下一步的推广思路。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（5）提高用户使用系统的积极性，以达到促进系统的推广工作的目的。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3</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功能维护与优化服务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3.1</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系统对接服务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根据用户需求，提供系统接口对接服务。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3.2</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系统调优服务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（1）根据用户需要，对界面、模块、流程等进行优化、调整。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（2）根据业务功能需要，增加公文流程模板的定制开发。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（3）进一步完善优化系统，动态调整现有流程实际使用的情况。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rPr>
                    <w:t>（4）定期进行安全漏洞扫描和修复。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3.3</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业务公文处理服务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完成对公文日常的流转维护，对公文实例的挂起、恢复、结束、唤醒、删除以及工作项状态的管理，根据用户需求进行调整。完成公文映射增加、删除、修改的管理。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3.4</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个人事务管理服务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根据用户需求，完成对用户个人信息维护、短信设置、消息系统设置、代理授权设置、常用批示语设置等的管理。遵循的技术标准和工作规范。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4</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服务期限</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提供运维服务一年。</w:t>
                  </w:r>
                </w:p>
              </w:tc>
            </w:tr>
          </w:tbl>
          <w:p>
            <w:pPr>
              <w:spacing w:line="440" w:lineRule="exact"/>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51"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rPr>
            </w:pPr>
          </w:p>
          <w:p>
            <w:pPr>
              <w:pStyle w:val="207"/>
              <w:spacing w:line="440" w:lineRule="exact"/>
              <w:ind w:left="0" w:right="0"/>
              <w:jc w:val="center"/>
              <w:rPr>
                <w:color w:val="auto"/>
                <w:sz w:val="21"/>
                <w:szCs w:val="21"/>
                <w:highlight w:val="none"/>
              </w:rPr>
            </w:pPr>
          </w:p>
          <w:p>
            <w:pPr>
              <w:pStyle w:val="207"/>
              <w:spacing w:line="440" w:lineRule="exact"/>
              <w:ind w:left="0" w:right="0"/>
              <w:jc w:val="center"/>
              <w:rPr>
                <w:b/>
                <w:color w:val="auto"/>
                <w:sz w:val="21"/>
                <w:szCs w:val="21"/>
                <w:highlight w:val="none"/>
              </w:rPr>
            </w:pPr>
            <w:r>
              <w:rPr>
                <w:rFonts w:hint="eastAsia"/>
                <w:color w:val="auto"/>
                <w:spacing w:val="-2"/>
                <w:sz w:val="21"/>
                <w:szCs w:val="21"/>
                <w:highlight w:val="none"/>
              </w:rPr>
              <w:t>▲磋商报价要</w:t>
            </w:r>
            <w:r>
              <w:rPr>
                <w:rFonts w:hint="eastAsia"/>
                <w:color w:val="auto"/>
                <w:spacing w:val="-10"/>
                <w:sz w:val="21"/>
                <w:szCs w:val="21"/>
                <w:highlight w:val="none"/>
              </w:rPr>
              <w:t>求</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rPr>
                <w:color w:val="auto"/>
                <w:spacing w:val="-5"/>
                <w:sz w:val="21"/>
                <w:szCs w:val="21"/>
                <w:highlight w:val="none"/>
                <w:lang w:eastAsia="zh-CN"/>
              </w:rPr>
            </w:pPr>
            <w:r>
              <w:rPr>
                <w:rFonts w:hint="eastAsia"/>
                <w:color w:val="auto"/>
                <w:spacing w:val="-2"/>
                <w:sz w:val="21"/>
                <w:szCs w:val="21"/>
                <w:highlight w:val="none"/>
                <w:lang w:eastAsia="zh-CN"/>
              </w:rPr>
              <w:t>报价必须含以下部分，包括（但不限于</w:t>
            </w:r>
            <w:r>
              <w:rPr>
                <w:rFonts w:hint="eastAsia"/>
                <w:color w:val="auto"/>
                <w:spacing w:val="-5"/>
                <w:sz w:val="21"/>
                <w:szCs w:val="21"/>
                <w:highlight w:val="none"/>
                <w:lang w:eastAsia="zh-CN"/>
              </w:rPr>
              <w:t>）：</w:t>
            </w:r>
          </w:p>
          <w:p>
            <w:pPr>
              <w:pStyle w:val="207"/>
              <w:spacing w:line="440" w:lineRule="exact"/>
              <w:ind w:left="0" w:right="0"/>
              <w:rPr>
                <w:color w:val="auto"/>
                <w:sz w:val="21"/>
                <w:szCs w:val="21"/>
                <w:highlight w:val="none"/>
                <w:lang w:eastAsia="zh-CN"/>
              </w:rPr>
            </w:pPr>
            <w:r>
              <w:rPr>
                <w:rFonts w:hint="eastAsia"/>
                <w:color w:val="auto"/>
                <w:spacing w:val="-4"/>
                <w:sz w:val="21"/>
                <w:szCs w:val="21"/>
                <w:highlight w:val="none"/>
                <w:lang w:eastAsia="zh-CN"/>
              </w:rPr>
              <w:t>本项目磋商报价为总额报价，即一次性报出本项目服务所需的所有费用，含技术服</w:t>
            </w:r>
            <w:r>
              <w:rPr>
                <w:rFonts w:hint="eastAsia"/>
                <w:color w:val="auto"/>
                <w:spacing w:val="-7"/>
                <w:sz w:val="21"/>
                <w:szCs w:val="21"/>
                <w:highlight w:val="none"/>
                <w:lang w:eastAsia="zh-CN"/>
              </w:rPr>
              <w:t>务、派出工作人员的交通费、住宿费、伙食补助费、必要的保险费用和各项税金、其他</w:t>
            </w:r>
            <w:r>
              <w:rPr>
                <w:rFonts w:hint="eastAsia"/>
                <w:color w:val="auto"/>
                <w:spacing w:val="-6"/>
                <w:sz w:val="21"/>
                <w:szCs w:val="21"/>
                <w:highlight w:val="none"/>
                <w:lang w:eastAsia="zh-CN"/>
              </w:rPr>
              <w:t>（如运输、装卸、安装、调试、培训、技术支持、服务保障方案、更新升级等）</w:t>
            </w:r>
            <w:r>
              <w:rPr>
                <w:rFonts w:hint="eastAsia"/>
                <w:color w:val="auto"/>
                <w:spacing w:val="-8"/>
                <w:sz w:val="21"/>
                <w:szCs w:val="21"/>
                <w:highlight w:val="none"/>
                <w:lang w:eastAsia="zh-CN"/>
              </w:rPr>
              <w:t>有关的</w:t>
            </w:r>
            <w:r>
              <w:rPr>
                <w:rFonts w:hint="eastAsia"/>
                <w:color w:val="auto"/>
                <w:spacing w:val="-3"/>
                <w:sz w:val="21"/>
                <w:szCs w:val="21"/>
                <w:highlight w:val="none"/>
                <w:lang w:eastAsia="zh-CN"/>
              </w:rPr>
              <w:t>费用。本项目至验收合格，采购人不另支付任何费用。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r>
              <w:rPr>
                <w:rFonts w:hint="eastAsia"/>
                <w:color w:val="auto"/>
                <w:spacing w:val="-4"/>
                <w:sz w:val="21"/>
                <w:szCs w:val="21"/>
                <w:highlight w:val="none"/>
                <w:lang w:eastAsia="zh-CN"/>
              </w:rPr>
              <w:t>▲合同履行期</w:t>
            </w:r>
          </w:p>
          <w:p>
            <w:pPr>
              <w:pStyle w:val="207"/>
              <w:spacing w:line="440" w:lineRule="exact"/>
              <w:ind w:left="0" w:right="0"/>
              <w:jc w:val="center"/>
              <w:rPr>
                <w:b/>
                <w:color w:val="auto"/>
                <w:sz w:val="21"/>
                <w:szCs w:val="21"/>
                <w:highlight w:val="none"/>
                <w:lang w:eastAsia="zh-CN"/>
              </w:rPr>
            </w:pPr>
            <w:r>
              <w:rPr>
                <w:rFonts w:hint="eastAsia"/>
                <w:color w:val="auto"/>
                <w:spacing w:val="-7"/>
                <w:sz w:val="21"/>
                <w:szCs w:val="21"/>
                <w:highlight w:val="none"/>
                <w:lang w:eastAsia="zh-CN"/>
              </w:rPr>
              <w:t>限、地点</w:t>
            </w:r>
          </w:p>
        </w:tc>
        <w:tc>
          <w:tcPr>
            <w:tcW w:w="8496"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color w:val="auto"/>
                <w:szCs w:val="21"/>
                <w:highlight w:val="none"/>
              </w:rPr>
              <w:t>合同履行期限：自合同签订之日起一年。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b/>
                <w:color w:val="auto"/>
                <w:sz w:val="21"/>
                <w:szCs w:val="21"/>
                <w:highlight w:val="none"/>
              </w:rPr>
            </w:pPr>
            <w:r>
              <w:rPr>
                <w:rFonts w:hint="eastAsia"/>
                <w:color w:val="auto"/>
                <w:spacing w:val="-6"/>
                <w:sz w:val="21"/>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both"/>
              <w:rPr>
                <w:b/>
                <w:color w:val="auto"/>
                <w:sz w:val="21"/>
                <w:szCs w:val="21"/>
                <w:highlight w:val="none"/>
                <w:lang w:eastAsia="zh-CN"/>
              </w:rPr>
            </w:pPr>
            <w:r>
              <w:rPr>
                <w:rFonts w:hint="eastAsia"/>
                <w:color w:val="auto"/>
                <w:sz w:val="21"/>
                <w:szCs w:val="21"/>
                <w:highlight w:val="none"/>
                <w:lang w:eastAsia="zh-CN"/>
              </w:rPr>
              <w:t>自签订合同，供应商提供运维服务后，10</w:t>
            </w:r>
            <w:r>
              <w:rPr>
                <w:rFonts w:hint="eastAsia"/>
                <w:color w:val="auto"/>
                <w:spacing w:val="-3"/>
                <w:sz w:val="21"/>
                <w:szCs w:val="21"/>
                <w:highlight w:val="none"/>
                <w:lang w:eastAsia="zh-CN"/>
              </w:rPr>
              <w:t>个工作日内，采购人支付</w:t>
            </w:r>
            <w:r>
              <w:rPr>
                <w:rFonts w:hint="eastAsia"/>
                <w:color w:val="auto"/>
                <w:sz w:val="21"/>
                <w:szCs w:val="21"/>
                <w:highlight w:val="none"/>
                <w:lang w:eastAsia="zh-CN"/>
              </w:rPr>
              <w:t>30%的合同款给成交供应商，提供实施服务并取得运维成果后采购人支付50%的合同款给成交供应商。完成项目验收</w:t>
            </w:r>
            <w:r>
              <w:rPr>
                <w:rFonts w:hint="eastAsia"/>
                <w:color w:val="auto"/>
                <w:spacing w:val="-3"/>
                <w:sz w:val="21"/>
                <w:szCs w:val="21"/>
                <w:highlight w:val="none"/>
                <w:lang w:eastAsia="zh-CN"/>
              </w:rPr>
              <w:t>后，采购人支付合同金额</w:t>
            </w:r>
            <w:r>
              <w:rPr>
                <w:rFonts w:hint="eastAsia"/>
                <w:color w:val="auto"/>
                <w:sz w:val="21"/>
                <w:szCs w:val="21"/>
                <w:highlight w:val="none"/>
                <w:lang w:eastAsia="zh-CN"/>
              </w:rPr>
              <w:t>20%</w:t>
            </w:r>
            <w:r>
              <w:rPr>
                <w:rFonts w:hint="eastAsia"/>
                <w:color w:val="auto"/>
                <w:spacing w:val="-1"/>
                <w:sz w:val="21"/>
                <w:szCs w:val="21"/>
                <w:highlight w:val="none"/>
                <w:lang w:eastAsia="zh-CN"/>
              </w:rPr>
              <w:t>合同款给成交供应商，供应商自收到</w:t>
            </w:r>
            <w:r>
              <w:rPr>
                <w:rFonts w:hint="eastAsia"/>
                <w:color w:val="auto"/>
                <w:spacing w:val="-9"/>
                <w:sz w:val="21"/>
                <w:szCs w:val="21"/>
                <w:highlight w:val="none"/>
                <w:lang w:eastAsia="zh-CN"/>
              </w:rPr>
              <w:t>合同款之日起</w:t>
            </w:r>
            <w:r>
              <w:rPr>
                <w:rFonts w:hint="eastAsia"/>
                <w:color w:val="auto"/>
                <w:spacing w:val="-2"/>
                <w:sz w:val="21"/>
                <w:szCs w:val="21"/>
                <w:highlight w:val="none"/>
                <w:lang w:eastAsia="zh-CN"/>
              </w:rPr>
              <w:t>10</w:t>
            </w:r>
            <w:r>
              <w:rPr>
                <w:rFonts w:hint="eastAsia"/>
                <w:color w:val="auto"/>
                <w:spacing w:val="-3"/>
                <w:sz w:val="21"/>
                <w:szCs w:val="21"/>
                <w:highlight w:val="none"/>
                <w:lang w:eastAsia="zh-CN"/>
              </w:rPr>
              <w:t>个工作日内开具发票给采购人。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b/>
                <w:color w:val="auto"/>
                <w:sz w:val="21"/>
                <w:szCs w:val="21"/>
                <w:highlight w:val="none"/>
              </w:rPr>
            </w:pPr>
            <w:r>
              <w:rPr>
                <w:rFonts w:hint="eastAsia"/>
                <w:color w:val="auto"/>
                <w:spacing w:val="-2"/>
                <w:sz w:val="21"/>
                <w:szCs w:val="21"/>
                <w:highlight w:val="none"/>
              </w:rPr>
              <w:t>▲服务保障方</w:t>
            </w:r>
            <w:r>
              <w:rPr>
                <w:rFonts w:hint="eastAsia"/>
                <w:color w:val="auto"/>
                <w:spacing w:val="-4"/>
                <w:sz w:val="21"/>
                <w:szCs w:val="21"/>
                <w:highlight w:val="none"/>
              </w:rPr>
              <w:t>案要求</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1、成交供应商在服务期限内对用户提出的合理的，不涉及架构及全局性的功能增减、美工修改等应配合实施。</w:t>
            </w:r>
          </w:p>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2</w:t>
            </w:r>
            <w:r>
              <w:rPr>
                <w:rFonts w:hint="eastAsia"/>
                <w:color w:val="auto"/>
                <w:spacing w:val="-3"/>
                <w:sz w:val="21"/>
                <w:szCs w:val="21"/>
                <w:highlight w:val="none"/>
                <w:lang w:eastAsia="zh-CN"/>
              </w:rPr>
              <w:t>、送货上门、安装调试至设备到最佳状态、培训操作人员。</w:t>
            </w:r>
          </w:p>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3、维护响应：成交供应商在接到用户电话后1小时内响应，1小时内到达现场修理解决，24小时内恢复正常使用，若不能修复则应有合理应对方案。</w:t>
            </w:r>
          </w:p>
          <w:p>
            <w:pPr>
              <w:pStyle w:val="207"/>
              <w:spacing w:line="440" w:lineRule="exact"/>
              <w:ind w:left="0" w:right="0"/>
              <w:rPr>
                <w:color w:val="auto"/>
                <w:kern w:val="2"/>
                <w:sz w:val="21"/>
                <w:szCs w:val="21"/>
                <w:highlight w:val="none"/>
                <w:lang w:eastAsia="zh-CN"/>
              </w:rPr>
            </w:pPr>
            <w:r>
              <w:rPr>
                <w:rFonts w:hint="eastAsia"/>
                <w:color w:val="auto"/>
                <w:spacing w:val="-2"/>
                <w:sz w:val="21"/>
                <w:szCs w:val="21"/>
                <w:highlight w:val="none"/>
                <w:lang w:eastAsia="zh-CN"/>
              </w:rPr>
              <w:t>4</w:t>
            </w:r>
            <w:r>
              <w:rPr>
                <w:rFonts w:hint="eastAsia"/>
                <w:color w:val="auto"/>
                <w:spacing w:val="-3"/>
                <w:sz w:val="21"/>
                <w:szCs w:val="21"/>
                <w:highlight w:val="none"/>
                <w:lang w:eastAsia="zh-CN"/>
              </w:rPr>
              <w:t>、成交供应商除承担运输、安装、调试、验收与培训等义务外，还将为采购人提供技术支持，包括维护期外的技术服务及技术指导等。</w:t>
            </w:r>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标项三</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13"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34"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66"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广西农产品产销价格监测预警系统运维及数据采集服务</w:t>
            </w:r>
          </w:p>
        </w:tc>
        <w:tc>
          <w:tcPr>
            <w:tcW w:w="934"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32" w:name="OLE_LINK61"/>
            <w:r>
              <w:rPr>
                <w:rFonts w:hint="eastAsia" w:ascii="宋体" w:hAnsi="宋体" w:cs="宋体"/>
                <w:color w:val="auto"/>
                <w:szCs w:val="21"/>
                <w:highlight w:val="none"/>
              </w:rPr>
              <w:t>依据广西农产品产销价格监测预警系统（以下简称系统）技术保障要求，对系统实施运行维护，并提供数据采集服务。</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一、广西农产品产销价格监测预警系统运行维护服务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p>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12.按照采购方需求，提供系统环境变更服务，软件重装服务（升级、适配等）。</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二、广西农产品产销价格监测预警系统数据采集服务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1.在每月、每季度、每半年、每年结束后的1周内，提供月度、季度、半年度、年度价格文字分析报告，分析报告内容包括蔬菜、水果、食用菌等农产品价格行情、</w:t>
            </w:r>
            <w:r>
              <w:rPr>
                <w:rFonts w:hint="eastAsia" w:ascii="宋体" w:hAnsi="宋体" w:eastAsia="宋体" w:cs="宋体"/>
                <w:i w:val="0"/>
                <w:iCs w:val="0"/>
                <w:color w:val="auto"/>
                <w:kern w:val="0"/>
                <w:sz w:val="20"/>
                <w:szCs w:val="20"/>
                <w:highlight w:val="none"/>
                <w:u w:val="none"/>
                <w:lang w:val="en-US" w:eastAsia="zh-CN" w:bidi="ar"/>
              </w:rPr>
              <w:t>走势分析、</w:t>
            </w:r>
            <w:r>
              <w:rPr>
                <w:rFonts w:hint="eastAsia" w:ascii="宋体" w:hAnsi="宋体" w:cs="宋体"/>
                <w:color w:val="auto"/>
                <w:szCs w:val="21"/>
                <w:highlight w:val="none"/>
              </w:rPr>
              <w:t>预测分析，分析报告要内容详实、分析深入、判断准确。</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2.采集品种、采集点、采集员等信息出现变动时，1个工作日内在系统更新，并且向用户提交更新信息。</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3.每周一下午18:00前、每周四上午12:00前，督促价格采集员完成数据上报工作，每周四下午15:00点前，抽取系统数据，形成报表分析报告</w:t>
            </w:r>
            <w:r>
              <w:rPr>
                <w:rFonts w:hint="eastAsia" w:ascii="宋体" w:hAnsi="宋体" w:cs="宋体"/>
                <w:color w:val="auto"/>
                <w:szCs w:val="21"/>
                <w:highlight w:val="none"/>
                <w:lang w:eastAsia="zh-CN"/>
              </w:rPr>
              <w:t>（</w:t>
            </w:r>
            <w:r>
              <w:rPr>
                <w:rFonts w:hint="default" w:ascii="Times New Roman" w:hAnsi="Times New Roman" w:eastAsia="宋体" w:cs="Times New Roman"/>
                <w:i w:val="0"/>
                <w:iCs w:val="0"/>
                <w:color w:val="auto"/>
                <w:kern w:val="0"/>
                <w:sz w:val="20"/>
                <w:szCs w:val="20"/>
                <w:highlight w:val="none"/>
                <w:u w:val="none"/>
                <w:lang w:val="en-US" w:eastAsia="zh-CN" w:bidi="ar"/>
              </w:rPr>
              <w:t>Excel</w:t>
            </w:r>
            <w:r>
              <w:rPr>
                <w:rFonts w:hint="eastAsia" w:ascii="宋体" w:hAnsi="宋体" w:eastAsia="宋体" w:cs="宋体"/>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WPS</w:t>
            </w:r>
            <w:r>
              <w:rPr>
                <w:rFonts w:hint="eastAsia" w:ascii="Times New Roman" w:hAnsi="Times New Roman" w:eastAsia="宋体" w:cs="Times New Roman"/>
                <w:i w:val="0"/>
                <w:iCs w:val="0"/>
                <w:color w:val="auto"/>
                <w:kern w:val="0"/>
                <w:sz w:val="20"/>
                <w:szCs w:val="20"/>
                <w:highlight w:val="none"/>
                <w:u w:val="none"/>
                <w:lang w:val="en-US" w:eastAsia="zh-CN" w:bidi="ar"/>
              </w:rPr>
              <w:t>格式</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4.每月25日发放下月采集任务。每月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日发放上月采集员劳务费，发放后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个工作日之内，向用户提供劳务费发放流水等相关票据信息。</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5.按照采购方需求，工作日10分钟响应，非工作日30分钟响应，并按要求提交阶段性价格数据。</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6.按采购方要求，</w:t>
            </w:r>
            <w:r>
              <w:rPr>
                <w:rFonts w:hint="eastAsia" w:ascii="宋体" w:hAnsi="宋体" w:cs="宋体"/>
                <w:color w:val="auto"/>
                <w:szCs w:val="21"/>
                <w:highlight w:val="none"/>
                <w:lang w:eastAsia="zh-CN"/>
              </w:rPr>
              <w:t>采集以下农作物价格，包括但不限于：</w:t>
            </w:r>
            <w:r>
              <w:rPr>
                <w:rFonts w:hint="eastAsia" w:ascii="宋体" w:hAnsi="宋体" w:cs="宋体"/>
                <w:color w:val="auto"/>
                <w:szCs w:val="21"/>
                <w:highlight w:val="none"/>
              </w:rPr>
              <w:t>蔬菜类：大肉芥菜、大白菜、小白菜、甘兰、芥菜、莴笋、菜心、冬瓜、南瓜、毛节瓜、甜瓜、苦瓜、西瓜、西葫芦、黄瓜、黑皮冬瓜、甜椒、圣女果、番茄、茄子、辣椒、四季豆、豇豆、豌豆、大头菜（鲜品）、淮山、胡萝卜、香葱、芋头、荔浦芋、莲藕、马蹄、大头菜（成品）等。水果类：滑皮金桔、金桔、砂糖桔、脐橙、南丰蜜桔、夏橙、脆皮桔、沃柑、芒果（贵妃）、芒果（桂七）、芒果（台农）、芒果（金煌芒）、葡萄（温克）、葡萄（夏黑）、葡萄（红提）、葡萄（巨峰）、三月红荔枝、黑叶荔枝、白糖荔荔枝、桂味荔枝、贵妃红荔枝、妃子笑荔枝、南局红荔枝、鸡嘴荔枝、禾荔、灵山香荔、桂蕉、粉蕉、威廉斯香蕉、巴西香蕉、火龙果、百香果、龙眼、柿子、水蜜桃、三华李、芙蓉李、奈李、黄花梨、油桃、青枣等。食用菌：云耳、双孢蘑菇、姬菇、平菇、毛木耳、灵芝、秀珍菇、香菇、黑木耳。粮食：早稻、中稻、晚稻、玉米（春种、秋种）、大豆（春种、秋种）。茶类：春茶、夏茶、秋茶、茉莉花茶、白毫白茶、三江绿、昭平绿、福云六号绿茶、白毫绿茶、桂平西山绿茶、金秀红茶、白毫红茶、昭平红、三江红、苍梧六堡茶等。</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三、广西农产品产销价格监测预警系统运维及数据采集服务项目保障服务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w:t>
            </w:r>
            <w:bookmarkStart w:id="33" w:name="OLE_LINK12"/>
            <w:r>
              <w:rPr>
                <w:rFonts w:hint="eastAsia" w:ascii="宋体" w:hAnsi="宋体" w:cs="宋体"/>
                <w:color w:val="auto"/>
                <w:szCs w:val="21"/>
                <w:highlight w:val="none"/>
              </w:rPr>
              <w:t>运维技术工程师</w:t>
            </w:r>
            <w:bookmarkEnd w:id="33"/>
            <w:r>
              <w:rPr>
                <w:rFonts w:hint="eastAsia" w:ascii="宋体" w:hAnsi="宋体" w:cs="宋体"/>
                <w:color w:val="auto"/>
                <w:szCs w:val="21"/>
                <w:highlight w:val="none"/>
              </w:rPr>
              <w:t>，负责系统运行维护</w:t>
            </w:r>
            <w:r>
              <w:rPr>
                <w:rFonts w:hint="eastAsia" w:ascii="宋体" w:hAnsi="宋体" w:cs="宋体"/>
                <w:color w:val="auto"/>
                <w:szCs w:val="21"/>
                <w:highlight w:val="none"/>
                <w:lang w:eastAsia="zh-CN"/>
              </w:rPr>
              <w:t>和数据服务</w:t>
            </w:r>
            <w:r>
              <w:rPr>
                <w:rFonts w:hint="eastAsia" w:ascii="宋体" w:hAnsi="宋体" w:cs="宋体"/>
                <w:color w:val="auto"/>
                <w:szCs w:val="21"/>
                <w:highlight w:val="none"/>
              </w:rPr>
              <w:t>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1.1人员资质要求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运维技术工程师应具备本科以上学历，计算机相关专业，有1年以上系统运维经验。运维人员需开展岗前培训并测试合格后方可进驻项目服务，需拥有良好的沟通协调能力，能够及时接收并处理采购方反馈的问题，对于无法立即解决的问题，需在第一时间向对应技术人员或项目经理进行反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未经采购方同意，在合同期内不得更换运维技术工程师。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提供7×24小时电话技术支持（包含电话、邮件、远程桌面支持等），接到系统故障或配表任务通知后，工作日10分钟响应，必要时1小时内到现场，非工作日30分钟响应，必要时2小时内到达现场。如系统临时有突发任务时，供应商需及时调配足够人手，确保按时按质按量完成项目需求。</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w:t>
            </w:r>
            <w:bookmarkStart w:id="34" w:name="OLE_LINK13"/>
            <w:r>
              <w:rPr>
                <w:rFonts w:hint="eastAsia" w:ascii="宋体" w:hAnsi="宋体" w:cs="宋体"/>
                <w:color w:val="auto"/>
                <w:szCs w:val="21"/>
                <w:highlight w:val="none"/>
              </w:rPr>
              <w:t>采购方</w:t>
            </w:r>
            <w:bookmarkEnd w:id="34"/>
            <w:r>
              <w:rPr>
                <w:rFonts w:hint="eastAsia" w:ascii="宋体" w:hAnsi="宋体" w:cs="宋体"/>
                <w:color w:val="auto"/>
                <w:szCs w:val="21"/>
                <w:highlight w:val="none"/>
              </w:rPr>
              <w:t>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三、广西农产品产销价格监测预警系统安全整改服务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四、文档编写服务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五、系统对接服务</w:t>
            </w:r>
          </w:p>
          <w:p>
            <w:pPr>
              <w:spacing w:line="440" w:lineRule="exact"/>
              <w:ind w:firstLine="420" w:firstLineChars="200"/>
              <w:jc w:val="left"/>
              <w:rPr>
                <w:rFonts w:ascii="宋体" w:hAnsi="宋体" w:cs="宋体"/>
                <w:color w:val="auto"/>
                <w:szCs w:val="21"/>
                <w:highlight w:val="none"/>
              </w:rPr>
            </w:pPr>
            <w:bookmarkStart w:id="35" w:name="OLE_LINK14"/>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bookmarkEnd w:id="35"/>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六、系统调优服务。</w:t>
            </w:r>
            <w:bookmarkStart w:id="36" w:name="OLE_LINK15"/>
            <w:r>
              <w:rPr>
                <w:rFonts w:hint="eastAsia" w:ascii="宋体" w:hAnsi="宋体" w:cs="宋体"/>
                <w:color w:val="auto"/>
                <w:szCs w:val="21"/>
                <w:highlight w:val="none"/>
              </w:rPr>
              <w:t>按照采购方要求，对系统部分指标、模块进行调优。</w:t>
            </w:r>
            <w:bookmarkEnd w:id="32"/>
            <w:bookmark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w:t>
            </w:r>
            <w:bookmarkStart w:id="37" w:name="OLE_LINK62"/>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月28日—2026年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月27日</w:t>
            </w:r>
            <w:bookmarkEnd w:id="37"/>
            <w:r>
              <w:rPr>
                <w:rFonts w:hint="eastAsia" w:ascii="宋体" w:hAnsi="宋体" w:cs="宋体"/>
                <w:color w:val="auto"/>
                <w:szCs w:val="21"/>
                <w:highlight w:val="none"/>
              </w:rPr>
              <w:t>；</w:t>
            </w:r>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38" w:name="OLE_LINK19"/>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39" w:name="OLE_LINK63"/>
            <w:r>
              <w:rPr>
                <w:rFonts w:hint="eastAsia" w:ascii="宋体" w:hAnsi="宋体" w:cs="宋体"/>
                <w:color w:val="auto"/>
                <w:szCs w:val="21"/>
                <w:highlight w:val="none"/>
              </w:rPr>
              <w:t>1.售后服务：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cstheme="minorEastAsia"/>
                <w:b w:val="0"/>
                <w:bCs w:val="0"/>
                <w:color w:val="auto"/>
                <w:sz w:val="21"/>
                <w:szCs w:val="21"/>
                <w:highlight w:val="none"/>
                <w:lang w:eastAsia="zh-CN"/>
              </w:rPr>
              <w:t>）驻场人员要求：</w:t>
            </w:r>
            <w:r>
              <w:rPr>
                <w:rFonts w:hint="eastAsia" w:asciiTheme="minorEastAsia" w:hAnsiTheme="minorEastAsia" w:eastAsiaTheme="minorEastAsia" w:cstheme="minorEastAsia"/>
                <w:b w:val="0"/>
                <w:bCs w:val="0"/>
                <w:color w:val="auto"/>
                <w:sz w:val="21"/>
                <w:szCs w:val="21"/>
                <w:highlight w:val="none"/>
                <w:lang w:val="en-US" w:eastAsia="zh-CN"/>
              </w:rPr>
              <w:t>安排1名熟悉业务的</w:t>
            </w:r>
            <w:r>
              <w:rPr>
                <w:rFonts w:hint="eastAsia" w:asciiTheme="minorEastAsia" w:hAnsiTheme="minorEastAsia" w:cstheme="minorEastAsia"/>
                <w:b w:val="0"/>
                <w:bCs w:val="0"/>
                <w:color w:val="auto"/>
                <w:sz w:val="21"/>
                <w:szCs w:val="21"/>
                <w:highlight w:val="none"/>
                <w:lang w:val="en-US" w:eastAsia="zh-CN"/>
              </w:rPr>
              <w:t>驻场人员</w:t>
            </w:r>
            <w:r>
              <w:rPr>
                <w:rFonts w:hint="eastAsia" w:asciiTheme="minorEastAsia" w:hAnsiTheme="minorEastAsia" w:eastAsiaTheme="minorEastAsia" w:cstheme="minorEastAsia"/>
                <w:b w:val="0"/>
                <w:bCs w:val="0"/>
                <w:color w:val="auto"/>
                <w:sz w:val="21"/>
                <w:szCs w:val="21"/>
                <w:highlight w:val="none"/>
                <w:lang w:val="en-US" w:eastAsia="zh-CN"/>
              </w:rPr>
              <w:t>，负责</w:t>
            </w:r>
            <w:r>
              <w:rPr>
                <w:rFonts w:hint="eastAsia" w:asciiTheme="minorEastAsia" w:hAnsiTheme="minorEastAsia" w:cstheme="minorEastAsia"/>
                <w:b w:val="0"/>
                <w:bCs w:val="0"/>
                <w:color w:val="auto"/>
                <w:sz w:val="21"/>
                <w:szCs w:val="21"/>
                <w:highlight w:val="none"/>
                <w:lang w:val="en-US" w:eastAsia="zh-CN"/>
              </w:rPr>
              <w:t>日常</w:t>
            </w:r>
            <w:r>
              <w:rPr>
                <w:rFonts w:hint="eastAsia" w:asciiTheme="minorEastAsia" w:hAnsiTheme="minorEastAsia" w:eastAsiaTheme="minorEastAsia" w:cstheme="minorEastAsia"/>
                <w:b w:val="0"/>
                <w:bCs w:val="0"/>
                <w:color w:val="auto"/>
                <w:sz w:val="21"/>
                <w:szCs w:val="21"/>
                <w:highlight w:val="none"/>
                <w:lang w:val="en-US" w:eastAsia="zh-CN"/>
              </w:rPr>
              <w:t>工作。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）服务期内提供7×24小时电话技术支持（包含电话、邮件、远程桌面支持等）</w:t>
            </w:r>
            <w:r>
              <w:rPr>
                <w:rFonts w:hint="eastAsia" w:ascii="宋体" w:hAnsi="宋体" w:cs="宋体"/>
                <w:color w:val="auto"/>
                <w:szCs w:val="21"/>
                <w:highlight w:val="none"/>
                <w:lang w:eastAsia="zh-CN"/>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）接到系统故障或整理价格数据通知后，工作日10分钟响应，必要时1小时内到现场，非工作日30分钟响应，必要时2小时内到达现场。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40" w:name="OLE_LINK4"/>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40"/>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标项四</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62"/>
        <w:gridCol w:w="83"/>
        <w:gridCol w:w="911"/>
        <w:gridCol w:w="757"/>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62"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94"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757"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2"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广西农情信息管理系统运维服务</w:t>
            </w:r>
          </w:p>
        </w:tc>
        <w:tc>
          <w:tcPr>
            <w:tcW w:w="994"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57"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41" w:name="OLE_LINK6"/>
            <w:bookmarkStart w:id="42" w:name="OLE_LINK43"/>
            <w:r>
              <w:rPr>
                <w:rFonts w:hint="eastAsia" w:ascii="宋体" w:hAnsi="宋体" w:cs="宋体"/>
                <w:color w:val="auto"/>
                <w:szCs w:val="21"/>
                <w:highlight w:val="none"/>
              </w:rPr>
              <w:t>依据广西农情信息管理系统（以下简称系统）技术保障要求，对系统实施运行维护</w:t>
            </w:r>
            <w:bookmarkEnd w:id="41"/>
            <w:r>
              <w:rPr>
                <w:rFonts w:hint="eastAsia" w:ascii="宋体" w:hAnsi="宋体" w:cs="宋体"/>
                <w:color w:val="auto"/>
                <w:szCs w:val="21"/>
                <w:highlight w:val="none"/>
              </w:rPr>
              <w:t>，并提供农情进度报表的配置服务。</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一、广西农情信息管理系统运行维护服务</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11.对接相关系统接口开发。</w:t>
            </w:r>
          </w:p>
          <w:p>
            <w:pPr>
              <w:spacing w:line="440" w:lineRule="exact"/>
              <w:ind w:firstLine="420" w:firstLineChars="200"/>
              <w:rPr>
                <w:rFonts w:hint="default" w:ascii="宋体" w:hAnsi="宋体" w:cs="宋体"/>
                <w:color w:val="auto"/>
                <w:szCs w:val="21"/>
                <w:highlight w:val="none"/>
                <w:lang w:val="en-US" w:eastAsia="zh-CN"/>
              </w:rPr>
            </w:pPr>
            <w:bookmarkStart w:id="43" w:name="OLE_LINK7"/>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bookmarkEnd w:id="43"/>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二、广西农情信息管理系统农情进度报表配置服务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采购方要求，通过系统下发全区种植业生产进度报表。常规情况下，每周下发一次报表，覆盖全区14个市、113个县（市、区）。在春种、夏收夏种、秋收秋种等关键农时季节，报表下发频率增加，一周两次或一天一次。此外，每年2月下发全年农作物种植意向表，6月和11月分别下发全区早稻、晚稻产量三要素调度表，9月下发全区农作物种植面积、产量预测表。同时，根据采购方要求下发其他相关表格。</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农情进度报表配置要求：1.配表前：供应商需形成配表明细记录（以系统中县区填报页面显示的报表为模板），标注每期报表中每个指标的环比、同比取数及逻辑校验等内容，提交采购方审核后，再进行配表。2.配表完成：供应商配表完成后，针对配表内容进行再次审核，确保配置无误。3.测试任务：供应商发放测试任务后，需从县级—市级—区级三级进行测试，确保县级填报时各项逻辑校验无误，市级、区级的汇总数据准确无误。4.正式报表任务：完成三级测试后，供应商正式下发报表任务。</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三、广西农情信息管理系统保障服务</w:t>
            </w:r>
          </w:p>
          <w:p>
            <w:pPr>
              <w:spacing w:line="440" w:lineRule="exact"/>
              <w:ind w:firstLine="420" w:firstLineChars="200"/>
              <w:jc w:val="left"/>
              <w:rPr>
                <w:rFonts w:ascii="宋体" w:hAnsi="宋体" w:cs="宋体"/>
                <w:color w:val="auto"/>
                <w:szCs w:val="21"/>
                <w:highlight w:val="none"/>
              </w:rPr>
            </w:pPr>
            <w:bookmarkStart w:id="44" w:name="OLE_LINK18"/>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安排至少1名熟悉应用业务的运维技术工程师，负责系统运行维护和农情进度报表配置工作。</w:t>
            </w:r>
          </w:p>
          <w:p>
            <w:pPr>
              <w:spacing w:line="440" w:lineRule="exact"/>
              <w:ind w:firstLine="420" w:firstLineChars="200"/>
              <w:rPr>
                <w:rFonts w:ascii="宋体" w:hAnsi="宋体" w:cs="宋体"/>
                <w:color w:val="auto"/>
                <w:szCs w:val="21"/>
                <w:highlight w:val="none"/>
              </w:rPr>
            </w:pPr>
            <w:bookmarkStart w:id="45" w:name="OLE_LINK22"/>
            <w:r>
              <w:rPr>
                <w:rFonts w:hint="eastAsia" w:ascii="宋体" w:hAnsi="宋体" w:cs="宋体"/>
                <w:color w:val="auto"/>
                <w:szCs w:val="21"/>
                <w:highlight w:val="none"/>
              </w:rPr>
              <w:t>1.1人员资质要求</w:t>
            </w:r>
          </w:p>
          <w:p>
            <w:pPr>
              <w:spacing w:line="440" w:lineRule="exact"/>
              <w:jc w:val="left"/>
              <w:rPr>
                <w:rFonts w:ascii="宋体" w:hAnsi="宋体" w:cs="宋体"/>
                <w:color w:val="auto"/>
                <w:szCs w:val="21"/>
                <w:highlight w:val="none"/>
              </w:rPr>
            </w:pPr>
            <w:bookmarkStart w:id="46" w:name="OLE_LINK10"/>
            <w:bookmarkStart w:id="47" w:name="OLE_LINK21"/>
            <w:r>
              <w:rPr>
                <w:rFonts w:hint="eastAsia" w:ascii="宋体" w:hAnsi="宋体" w:cs="宋体"/>
                <w:color w:val="auto"/>
                <w:szCs w:val="21"/>
                <w:highlight w:val="none"/>
              </w:rPr>
              <w:t>运维技术工程师应具备计算机相关专业，有1年以上系统运维经验。运维人员需开展岗前培训并测试合格后方可进驻项目服务，</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拥有良好的沟通协调能力，能够及时接收并处理采购方反馈的问题，对于无法立即解决的问题，需在第一时间向对应技术人员或项目经理进行反馈。</w:t>
            </w:r>
          </w:p>
          <w:bookmarkEnd w:id="44"/>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jc w:val="left"/>
              <w:rPr>
                <w:rFonts w:ascii="宋体" w:hAnsi="宋体" w:cs="宋体"/>
                <w:color w:val="auto"/>
                <w:szCs w:val="21"/>
                <w:highlight w:val="none"/>
              </w:rPr>
            </w:pPr>
            <w:bookmarkStart w:id="48" w:name="OLE_LINK16"/>
            <w:r>
              <w:rPr>
                <w:rFonts w:hint="eastAsia" w:ascii="宋体" w:hAnsi="宋体" w:cs="宋体"/>
                <w:color w:val="auto"/>
                <w:szCs w:val="21"/>
                <w:highlight w:val="none"/>
              </w:rPr>
              <w:t>未经采购方同意，在合同期内不得更换运维技术工程师。</w:t>
            </w:r>
          </w:p>
          <w:bookmarkEnd w:id="48"/>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jc w:val="left"/>
              <w:rPr>
                <w:rFonts w:ascii="宋体" w:hAnsi="宋体" w:cs="宋体"/>
                <w:color w:val="auto"/>
                <w:szCs w:val="21"/>
                <w:highlight w:val="none"/>
              </w:rPr>
            </w:pPr>
            <w:bookmarkStart w:id="49" w:name="OLE_LINK17"/>
            <w:r>
              <w:rPr>
                <w:rFonts w:hint="eastAsia" w:ascii="宋体" w:hAnsi="宋体" w:cs="宋体"/>
                <w:color w:val="auto"/>
                <w:szCs w:val="21"/>
                <w:highlight w:val="none"/>
              </w:rPr>
              <w:t>①提供7×24小时电话技术支持（包含电话、邮件、远程桌面支持等），</w:t>
            </w:r>
            <w:bookmarkStart w:id="50" w:name="OLE_LINK24"/>
            <w:r>
              <w:rPr>
                <w:rFonts w:hint="eastAsia" w:ascii="宋体" w:hAnsi="宋体" w:cs="宋体"/>
                <w:color w:val="auto"/>
                <w:szCs w:val="21"/>
                <w:highlight w:val="none"/>
              </w:rPr>
              <w:t>接到系统故障或配表任务通知后，工作日10分钟响应，必要时1小时内到现场，非工作日30分钟响应，必要时2小时内到达现场。如系统临时有突发任务时，供应商需及时调配足够人手，确保按时按质按量完成项目需求。</w:t>
            </w:r>
          </w:p>
          <w:bookmarkEnd w:id="45"/>
          <w:bookmarkEnd w:id="46"/>
          <w:bookmarkEnd w:id="47"/>
          <w:bookmarkEnd w:id="50"/>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bookmarkEnd w:id="49"/>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最高：由于应用系统故障造成应用系统停止运行，对采购方的业务运行造成严重影响。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四、广西农情信息管理系统安全整改服务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五、文档编写服务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六、系统调优服务。</w:t>
            </w:r>
            <w:r>
              <w:rPr>
                <w:rFonts w:hint="eastAsia" w:ascii="宋体" w:hAnsi="宋体" w:cs="宋体"/>
                <w:color w:val="auto"/>
                <w:szCs w:val="21"/>
                <w:highlight w:val="none"/>
              </w:rPr>
              <w:t>按照采购方要求，对系统部分指标、模块进行调优。</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1.合同履行期限： </w:t>
            </w:r>
            <w:bookmarkStart w:id="51" w:name="OLE_LINK50"/>
            <w:r>
              <w:rPr>
                <w:rFonts w:hint="eastAsia" w:ascii="宋体" w:hAnsi="宋体" w:cs="宋体"/>
                <w:color w:val="auto"/>
                <w:szCs w:val="21"/>
                <w:highlight w:val="none"/>
              </w:rPr>
              <w:t>2025年7月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51"/>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52" w:name="OLE_LINK51"/>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5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bookmarkStart w:id="53" w:name="OLE_LINK52" w:colFirst="1" w:colLast="1"/>
            <w:r>
              <w:rPr>
                <w:rFonts w:hint="eastAsia" w:ascii="宋体" w:hAnsi="宋体" w:cs="宋体"/>
                <w:color w:val="auto"/>
                <w:szCs w:val="21"/>
                <w:highlight w:val="none"/>
              </w:rPr>
              <w:t>▲售后服务</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54" w:name="OLE_LINK54"/>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（2）服务期内提供7×24小时电话技术支持（包含电话、邮件、远程桌面支持等）</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（3）接到系统故障或配表任务通知后，工作日10分钟响应，必要时1小时内到现场，非工作日30分钟响应，必要时2小时内到达现场。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54"/>
          </w:p>
        </w:tc>
      </w:tr>
      <w:bookmarkEnd w:id="53"/>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55" w:name="OLE_LINK53"/>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55"/>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标项五</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13"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34"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66"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广西农业自然灾害预警监控系统运维服务</w:t>
            </w:r>
          </w:p>
        </w:tc>
        <w:tc>
          <w:tcPr>
            <w:tcW w:w="934"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56" w:name="OLE_LINK44"/>
            <w:r>
              <w:rPr>
                <w:rFonts w:hint="eastAsia" w:ascii="宋体" w:hAnsi="宋体" w:cs="宋体"/>
                <w:color w:val="auto"/>
                <w:szCs w:val="21"/>
                <w:highlight w:val="none"/>
              </w:rPr>
              <w:t>依据广西农业自然灾害预警监控系统（以下简称系统）技术保障要求，对系统实施运行维护。</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w:t>
            </w:r>
            <w:bookmarkStart w:id="57" w:name="OLE_LINK49"/>
            <w:r>
              <w:rPr>
                <w:rFonts w:hint="eastAsia" w:ascii="宋体" w:hAnsi="宋体" w:cs="宋体"/>
                <w:b/>
                <w:bCs/>
                <w:color w:val="auto"/>
                <w:szCs w:val="21"/>
                <w:highlight w:val="none"/>
              </w:rPr>
              <w:t>广西农业自然灾害预警监控系统</w:t>
            </w:r>
            <w:bookmarkEnd w:id="57"/>
            <w:r>
              <w:rPr>
                <w:rFonts w:hint="eastAsia" w:ascii="宋体" w:hAnsi="宋体" w:cs="宋体"/>
                <w:b/>
                <w:bCs/>
                <w:color w:val="auto"/>
                <w:szCs w:val="21"/>
                <w:highlight w:val="none"/>
              </w:rPr>
              <w:t>运行维护服务</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二、广西农业自然灾害预警监控系统保障服务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安排至少1名熟悉应用业务的运维技术工程师，负责系统运行维护和农情进度报表配置工作。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1.1人员资质要求</w:t>
            </w:r>
          </w:p>
          <w:p>
            <w:pPr>
              <w:spacing w:line="440" w:lineRule="exact"/>
              <w:jc w:val="left"/>
              <w:rPr>
                <w:rFonts w:ascii="宋体" w:hAnsi="宋体" w:cs="宋体"/>
                <w:color w:val="auto"/>
                <w:szCs w:val="21"/>
                <w:highlight w:val="none"/>
              </w:rPr>
            </w:pPr>
            <w:bookmarkStart w:id="58" w:name="OLE_LINK11"/>
            <w:r>
              <w:rPr>
                <w:rFonts w:hint="eastAsia" w:ascii="宋体" w:hAnsi="宋体" w:cs="宋体"/>
                <w:color w:val="auto"/>
                <w:szCs w:val="21"/>
                <w:highlight w:val="none"/>
              </w:rPr>
              <w:t>运维技术工程师应具备计算机相关专业，有1年以上系统运维经验。运维人员需开展岗前培训并测试合格后方可进驻项目服务，</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拥有良好的沟通协调能力，能够及时接收并处理采购方反馈的问题，对于无法立即解决的问题，需在第一时间向对应技术人员或项目经理进行反馈。</w:t>
            </w:r>
          </w:p>
          <w:bookmarkEnd w:id="58"/>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未经采购方同意，在合同期内不得更换运维技术工程师。</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①提供7×24小时电话技术支持（包含电话、邮件、远程桌面支持等），接到系统故障或配表任务通知后，工作日10分钟响应，必要时1小时内到现场，非工作日30分钟响应，必要时2小时内到达现场。如系统临时有突发任务时，供应商需及时调配足够人手，确保按时按质按量完成项目需求。</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最高：由于应用系统故障造成应用系统停止运行，对采购方的业务运行造成严重影响。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三、广西农业自然灾害预警监控系统安全整改服务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四、文档编写服务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五、系统调优服务。</w:t>
            </w:r>
            <w:r>
              <w:rPr>
                <w:rFonts w:hint="eastAsia" w:ascii="宋体" w:hAnsi="宋体" w:cs="宋体"/>
                <w:color w:val="auto"/>
                <w:szCs w:val="21"/>
                <w:highlight w:val="none"/>
              </w:rPr>
              <w:t>按照采购方要求，对系统部分指标、模块进行调优。</w:t>
            </w:r>
            <w:bookmarkEnd w:id="5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w:t>
            </w:r>
            <w:bookmarkStart w:id="59" w:name="OLE_LINK45"/>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bookmarkEnd w:id="59"/>
            <w:r>
              <w:rPr>
                <w:rFonts w:hint="eastAsia" w:ascii="宋体" w:hAnsi="宋体" w:cs="宋体"/>
                <w:color w:val="auto"/>
                <w:szCs w:val="21"/>
                <w:highlight w:val="none"/>
              </w:rPr>
              <w:t>；</w:t>
            </w:r>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60" w:name="OLE_LINK46"/>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6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61" w:name="OLE_LINK47"/>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（2）服务期内提供7×24小时电话技术支持（包含电话、邮件、远程桌面支持等）</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（3）接到系统故障通知后，工作日10分钟响应，必要时1小时内到现场，非工作日30分钟响应，必要时2小时内到达现场。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6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62" w:name="OLE_LINK48"/>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62"/>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标项六</w:t>
      </w:r>
    </w:p>
    <w:tbl>
      <w:tblPr>
        <w:tblStyle w:val="41"/>
        <w:tblW w:w="9534"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435"/>
        <w:gridCol w:w="365"/>
        <w:gridCol w:w="603"/>
        <w:gridCol w:w="1065"/>
        <w:gridCol w:w="5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3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68"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106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30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35" w:type="dxa"/>
            <w:vAlign w:val="center"/>
          </w:tcPr>
          <w:p>
            <w:pPr>
              <w:tabs>
                <w:tab w:val="left" w:pos="180"/>
                <w:tab w:val="left" w:pos="1620"/>
              </w:tabs>
              <w:spacing w:line="440" w:lineRule="exact"/>
              <w:jc w:val="center"/>
              <w:rPr>
                <w:rFonts w:ascii="宋体" w:hAnsi="宋体" w:cs="宋体"/>
                <w:color w:val="auto"/>
                <w:szCs w:val="21"/>
                <w:highlight w:val="none"/>
              </w:rPr>
            </w:pPr>
            <w:bookmarkStart w:id="108" w:name="_GoBack"/>
            <w:bookmarkEnd w:id="108"/>
            <w:r>
              <w:rPr>
                <w:rFonts w:hint="eastAsia" w:ascii="宋体" w:hAnsi="宋体" w:cs="宋体"/>
                <w:color w:val="auto"/>
                <w:szCs w:val="21"/>
                <w:highlight w:val="none"/>
                <w:lang w:eastAsia="zh-CN" w:bidi="ar"/>
              </w:rPr>
              <w:t>广西壮族自治区</w:t>
            </w:r>
            <w:r>
              <w:rPr>
                <w:rFonts w:hint="eastAsia" w:ascii="宋体" w:hAnsi="宋体" w:cs="宋体"/>
                <w:color w:val="auto"/>
                <w:szCs w:val="21"/>
                <w:highlight w:val="none"/>
                <w:lang w:bidi="ar"/>
              </w:rPr>
              <w:t>粮食生产功能区管理平台运维服务（2025年度）</w:t>
            </w:r>
          </w:p>
        </w:tc>
        <w:tc>
          <w:tcPr>
            <w:tcW w:w="968"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06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5308" w:type="dxa"/>
            <w:vAlign w:val="center"/>
          </w:tcPr>
          <w:p>
            <w:pPr>
              <w:spacing w:line="440" w:lineRule="exact"/>
              <w:ind w:firstLine="422" w:firstLineChars="200"/>
              <w:rPr>
                <w:rFonts w:ascii="宋体" w:hAnsi="宋体" w:cs="宋体"/>
                <w:b/>
                <w:bCs/>
                <w:color w:val="auto"/>
                <w:szCs w:val="21"/>
                <w:highlight w:val="none"/>
              </w:rPr>
            </w:pPr>
            <w:bookmarkStart w:id="63" w:name="_Toc16810"/>
            <w:r>
              <w:rPr>
                <w:rFonts w:hint="eastAsia" w:ascii="宋体" w:hAnsi="宋体" w:cs="宋体"/>
                <w:b/>
                <w:bCs/>
                <w:color w:val="auto"/>
                <w:szCs w:val="21"/>
                <w:highlight w:val="none"/>
              </w:rPr>
              <w:t>一、建设目的</w:t>
            </w:r>
            <w:bookmarkEnd w:id="63"/>
          </w:p>
          <w:p>
            <w:pPr>
              <w:spacing w:line="440" w:lineRule="exact"/>
              <w:ind w:firstLine="420" w:firstLineChars="200"/>
              <w:rPr>
                <w:rFonts w:ascii="宋体" w:hAnsi="宋体" w:cs="宋体"/>
                <w:color w:val="auto"/>
                <w:szCs w:val="21"/>
                <w:highlight w:val="none"/>
              </w:rPr>
            </w:pPr>
            <w:bookmarkStart w:id="64" w:name="_Toc6595"/>
            <w:r>
              <w:rPr>
                <w:rFonts w:hint="eastAsia" w:ascii="宋体" w:hAnsi="宋体" w:cs="宋体"/>
                <w:color w:val="auto"/>
                <w:szCs w:val="21"/>
                <w:highlight w:val="none"/>
              </w:rPr>
              <w:t>广西壮族自治区粮食功能区管理平台作为全区农业数字化管理的核心支撑平台，通过系统化整合粮食生产功能区划定的空间数据与属性信息，为自治区农业农村部门提供了重要的决策支持。平台自上线运行以来，累计完成全区103个县（市、区）、10.21万个行政村的粮食生产功能区数字化建库工作，精准划定78.98万块粮食生产功能区和重要农产品生产保护区地块，总覆盖面积达1681.21万亩，构建了包含水稻功能区1434.21万亩、玉米功能区247万亩的种植空间数据库，有效关联73万农业经营主体信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粮食功能区平台通过三大核心功能赋能农业管理：一是实现GIS空间数据与属性信息的双向互查，支持两区地块坐标定位、权属信息核查等精准查询；二是提供多维度的统计分析模块，可实时生成粮食种植结构、功能区利用效率等可视化报告；三是建立标准化的数据管理机制，为粮食生产数据采集、存储、应用的规范化提供全流程支撑。</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本次平台运维拟通过科学化、体系化的技术保障措施，确保平台在全生命周期内安全、稳定、高效运行，持续发挥其作为自治区粮食安全数字化基座的战略价值。</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二、项目建设内容</w:t>
            </w:r>
            <w:bookmarkEnd w:id="64"/>
          </w:p>
          <w:p>
            <w:pPr>
              <w:spacing w:line="440" w:lineRule="exact"/>
              <w:ind w:firstLine="420" w:firstLineChars="200"/>
              <w:rPr>
                <w:rFonts w:ascii="宋体" w:hAnsi="宋体" w:cs="宋体"/>
                <w:color w:val="auto"/>
                <w:szCs w:val="21"/>
                <w:highlight w:val="none"/>
              </w:rPr>
            </w:pPr>
            <w:bookmarkStart w:id="65" w:name="_Toc24988"/>
            <w:r>
              <w:rPr>
                <w:rFonts w:hint="eastAsia" w:ascii="宋体" w:hAnsi="宋体" w:cs="宋体"/>
                <w:color w:val="auto"/>
                <w:szCs w:val="21"/>
                <w:highlight w:val="none"/>
              </w:rPr>
              <w:t>（一）</w:t>
            </w:r>
            <w:bookmarkEnd w:id="65"/>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w:t>
            </w:r>
          </w:p>
          <w:p>
            <w:pPr>
              <w:spacing w:line="440" w:lineRule="exact"/>
              <w:ind w:firstLine="420" w:firstLineChars="200"/>
              <w:rPr>
                <w:rFonts w:ascii="宋体" w:hAnsi="宋体" w:cs="宋体"/>
                <w:color w:val="auto"/>
                <w:szCs w:val="21"/>
                <w:highlight w:val="none"/>
                <w:lang w:bidi="ar"/>
              </w:rPr>
            </w:pPr>
            <w:bookmarkStart w:id="66" w:name="_Toc21336"/>
            <w:r>
              <w:rPr>
                <w:rFonts w:hint="eastAsia" w:ascii="宋体" w:hAnsi="宋体" w:cs="宋体"/>
                <w:color w:val="auto"/>
                <w:szCs w:val="21"/>
                <w:highlight w:val="none"/>
                <w:lang w:bidi="ar"/>
              </w:rPr>
              <w:t>一是日常运行维护。保障平台正常运行、按照广西粮食生产功能区平台项目安全等级保护测评要求进行数据库补丁更新，并且对数据库的存储环境进行定期检测，对于检测出现的问题及时修复；二是为业务部门提供技术支撑包括但不限于日常数据查询、报表统计服务；三是“回头看”数据更新指导服务工作。自治区数据汇交单位对县区提交的数据成果按照标准进行处理，指导并协助其通过数据库管理系统进行数据入库和维护工作，进行粮食功能区数服务发布等，完成数据更新。建设内容如下：</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1、平台运行保障</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通过实时监控服务器、数据库及应用程序的运行状态；对系统故障进行快速定位和排查；定期进行数据备份，确保数据安全性和可恢复性。并将维护过程记录于月报，形成过程文档材料。</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2、平台安全检测及加固</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保障系统正常运行、按照安全等级保护测评要求进行数据库补丁更新，并且对数据库的存储环境进行定期检测，对于检测出现的问题及时修复。</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3、数据备份及更新服务</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指导并协助自治区数据汇总单位对已通过质检的数据成果按照入库标准进行整理，对历史数据做好备份存储；并通过数据库管理子系统完成数据入库更新和维护工作，进行粮食功能区数服务发布等，完成数据更新。</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4、操作指导及技术咨询服务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结合用户需求提供系统操作指导培训，提供技术咨询支持，提供数据统计分析和报表分析服务。</w:t>
            </w:r>
            <w:bookmarkEnd w:id="6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34"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val="zh-CN"/>
              </w:rPr>
              <w:t>本项目报价为总额报价，即一次性报出本项目服务所需的所有费用，含技术服务、派出工作人员的交通费、住宿费、伙食补助费、必要的保险费用和各项税金、其他有关的费用。本项目至验收合格，采购人不另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681"/>
              </w:tabs>
              <w:spacing w:line="440" w:lineRule="exact"/>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zh-CN"/>
              </w:rPr>
              <w:t>自合同签订之日起一年。</w:t>
            </w:r>
            <w:r>
              <w:rPr>
                <w:rFonts w:hint="eastAsia" w:ascii="宋体" w:hAnsi="宋体" w:cs="宋体"/>
                <w:color w:val="auto"/>
                <w:szCs w:val="21"/>
                <w:highlight w:val="none"/>
              </w:rPr>
              <w:t>。</w:t>
            </w:r>
          </w:p>
          <w:p>
            <w:pPr>
              <w:numPr>
                <w:ilvl w:val="0"/>
                <w:numId w:val="1"/>
              </w:numPr>
              <w:tabs>
                <w:tab w:val="left" w:pos="681"/>
              </w:tabs>
              <w:spacing w:line="440" w:lineRule="exact"/>
              <w:rPr>
                <w:rFonts w:ascii="宋体" w:hAnsi="宋体" w:cs="宋体"/>
                <w:color w:val="auto"/>
                <w:szCs w:val="21"/>
                <w:highlight w:val="none"/>
              </w:rPr>
            </w:pPr>
            <w:r>
              <w:rPr>
                <w:rFonts w:hint="eastAsia" w:ascii="宋体" w:hAnsi="宋体" w:cs="宋体"/>
                <w:color w:val="auto"/>
                <w:szCs w:val="21"/>
                <w:highlight w:val="none"/>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color w:val="auto"/>
                <w:szCs w:val="21"/>
                <w:highlight w:val="none"/>
              </w:rPr>
              <w:t>自签订合同，10</w:t>
            </w:r>
            <w:r>
              <w:rPr>
                <w:rFonts w:hint="eastAsia"/>
                <w:color w:val="auto"/>
                <w:spacing w:val="-3"/>
                <w:szCs w:val="21"/>
                <w:highlight w:val="none"/>
              </w:rPr>
              <w:t>个工作日内，采购人支付</w:t>
            </w:r>
            <w:r>
              <w:rPr>
                <w:rFonts w:hint="eastAsia"/>
                <w:color w:val="auto"/>
                <w:szCs w:val="21"/>
                <w:highlight w:val="none"/>
              </w:rPr>
              <w:t>30%的合同款给成交供应商，提供实施服务并取得运维成果后采购人支付50%的合同款给成交供应商。完成项目验收</w:t>
            </w:r>
            <w:r>
              <w:rPr>
                <w:rFonts w:hint="eastAsia"/>
                <w:color w:val="auto"/>
                <w:spacing w:val="-3"/>
                <w:szCs w:val="21"/>
                <w:highlight w:val="none"/>
              </w:rPr>
              <w:t>后，采购人支付合同金额</w:t>
            </w:r>
            <w:r>
              <w:rPr>
                <w:rFonts w:hint="eastAsia"/>
                <w:color w:val="auto"/>
                <w:szCs w:val="21"/>
                <w:highlight w:val="none"/>
              </w:rPr>
              <w:t>20%</w:t>
            </w:r>
            <w:r>
              <w:rPr>
                <w:rFonts w:hint="eastAsia"/>
                <w:color w:val="auto"/>
                <w:spacing w:val="-1"/>
                <w:szCs w:val="21"/>
                <w:highlight w:val="none"/>
              </w:rPr>
              <w:t>合同款给成交供应商，供应商自收到</w:t>
            </w:r>
            <w:r>
              <w:rPr>
                <w:rFonts w:hint="eastAsia"/>
                <w:color w:val="auto"/>
                <w:spacing w:val="-9"/>
                <w:szCs w:val="21"/>
                <w:highlight w:val="none"/>
              </w:rPr>
              <w:t>合同款之日起</w:t>
            </w:r>
            <w:r>
              <w:rPr>
                <w:rFonts w:hint="eastAsia"/>
                <w:color w:val="auto"/>
                <w:spacing w:val="-2"/>
                <w:szCs w:val="21"/>
                <w:highlight w:val="none"/>
              </w:rPr>
              <w:t>10</w:t>
            </w:r>
            <w:r>
              <w:rPr>
                <w:rFonts w:hint="eastAsia"/>
                <w:color w:val="auto"/>
                <w:spacing w:val="-3"/>
                <w:szCs w:val="21"/>
                <w:highlight w:val="none"/>
              </w:rPr>
              <w:t>个工作日内开具发票给采购人。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售后服务要求</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（1）要求技术人员、设备配备齐全，能够提供长期快速的服务。</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（2）自验收合格之日起，供应商提供1年质量保证期。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（3）处理问题响应时间：接到故障通知后，工作日2小时内到现场，非工作日时间4小时内到达现场。</w:t>
            </w:r>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标项七</w:t>
      </w:r>
    </w:p>
    <w:tbl>
      <w:tblPr>
        <w:tblStyle w:val="41"/>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5"/>
        <w:gridCol w:w="214"/>
        <w:gridCol w:w="867"/>
        <w:gridCol w:w="121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415" w:type="dxa"/>
            <w:gridSpan w:val="6"/>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b/>
                <w:bCs/>
                <w:color w:val="auto"/>
                <w:sz w:val="21"/>
                <w:szCs w:val="21"/>
                <w:highlight w:val="none"/>
              </w:rPr>
              <w:t>服务需求一览表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7" w:type="dxa"/>
            <w:tcMar>
              <w:top w:w="0" w:type="dxa"/>
              <w:left w:w="0" w:type="dxa"/>
              <w:bottom w:w="0" w:type="dxa"/>
              <w:right w:w="0" w:type="dxa"/>
            </w:tcMar>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949"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采购服务名称</w:t>
            </w:r>
          </w:p>
        </w:tc>
        <w:tc>
          <w:tcPr>
            <w:tcW w:w="867"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数量及单位</w:t>
            </w:r>
          </w:p>
        </w:tc>
        <w:tc>
          <w:tcPr>
            <w:tcW w:w="1219"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所属行业</w:t>
            </w:r>
          </w:p>
        </w:tc>
        <w:tc>
          <w:tcPr>
            <w:tcW w:w="6663"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17" w:type="dxa"/>
            <w:vAlign w:val="center"/>
          </w:tcPr>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49"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网络安全等级保护测评和商用密码应用安全性评估服务</w:t>
            </w:r>
          </w:p>
        </w:tc>
        <w:tc>
          <w:tcPr>
            <w:tcW w:w="867"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1项</w:t>
            </w:r>
          </w:p>
        </w:tc>
        <w:tc>
          <w:tcPr>
            <w:tcW w:w="1219"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6663" w:type="dxa"/>
          </w:tcPr>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一、项目背景</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根据《信息安全等级保护管理办法》(公通字〔2007〕43号)、《中华人民共和国网络安全法》、《中华人民共和国密码法》要求，信息系统安全保护等级定为第三级的信息系统每年至少进行一次等级保护测评；运营者应当使用商用密码进行保护，制定商用密码应用方案，配备必要的资金和专业人员，同步规划、同步建设、同步运行商用密码保障系统，自行或者委托商用密码检测机构开展商用密码应用安全性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广西农村土地承包经营权确权登记管理信息系统自治区级平台数据定级为等保三级信息系统，涉及范围广，数据精度高，具有高度的敏感性和保密性，作为区内重要的政务信息系统，因此需要开展网络安全等级保护测评和商用密码应用安全性评估服务采购工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二、服务内容和要求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▲网络安全等级保护测评服务</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1、总的要求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依据《网络安全等级保护基本要求》（GB/T 22239-2019）对广西农村土地承包经营权确权登记管理信息系统自治区平台系统（三级）开展网络安全等级保护测评工作，并出具网络安全等级保护测评报告。</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2、标准依据</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《计算机信息系统安全保护等级划分准则》（GB 17859-1999)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《网络安全等级保护基本要求》（GB/T 22239-2019）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《网络安全等级保护测评要求》（GB/T 28448-2019）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《网络安全等级保护测评过程指南》（GB/T 28449-2018)</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《网络安全等级保护设计技术要求》（GB/T 25070-2019）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《网络安全等级保护测试评估技术指南》（GB/T 36627-2018）</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3、测评内容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（1）安全通用要求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安全扩展要求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应用了不同新技术的安全保护对象处于不同的应用场景中，面临不同的安全威胁，因此会有不同的安全需求，该保护对象涉及的安全扩展要求包括：</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1）云计算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云计算安全测评内容包括对安全物理环境、安全通信网络、安全区域边界、安全计算环境、安全管理中心、安全建设管理、安全运维管理等的测评。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2）移动互联</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移动互联安全测评内容包括对安全物理环境、安全区域边界、安全计算环境、安全建设管理、安全运维管理等的测评。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4、测评方法</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在测评实施过程中，应采用访谈、检查和测试等测评方法进行，并与国家相关规范及标准的要求相符。</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访谈是指测评人员通过引导信息系统相关人员进行有目的的（有针对性的）交流以帮助测评人员理解、分析或取得证据的过程；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检查是指测评人员通过对测评对象（如管理制度、操作记录、安全配置等）进行观察、查验、分析以帮助测评人员理解、分析或取得证据的过程；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测试是测评人员使用预定的方法/工具使测评对象产生特定的行为，通过查看和分析结果以帮助测评人员获取证据的过程；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5、服务成果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测评完成后，出具一式两份纸质版符合网络安全等级保护测评相关技术标准要求的网络安全等级保护测评报告和对应的PDF版。</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▲商用密码应用安全性评估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1、总的要求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依据《信息安全技术信息系统密码应用基本要求》(GB/T 39786—2021)、《信息系统密码应用测评要求》、《信息系统密码应用测评过程指南》、《信息系统密码应用高风险判定指引》、《商用密码应用安全性评估量化评估规则》等标准、规范，对广西农村土地承包经营权确权登记管理信息系统自治区级平台（三级）开展商用密码应用安全性评估,全面评估其是否符合商用密码应用安全性评估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次密评旨在对西农村土地承包经营权确权登记管理信息系统自治区级平台的商用密码应用的合规性、正确性和有效性进行评估。根据实际评估结果，对受测系统进行安全风险分析并给出改进建议，出具密评报告。</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2、评估依据</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（1）评估过程中主要依据的标准或规范性文件</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GBT 39786—2021《信息安全技术信息系统密码应用基本要求》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《政务信息系统密码应用与安全性评估工作指南》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《信息系统密码应用测评要求》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《信息系统密码应用测评过程指南》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《信息系统密码应用高风险判定指引》</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《商用密码应用安全性评估量化评估规则》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（2）参考标准及规范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评估过程中其它参考性标准或规范性文件:</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GM/T 0024—2014 SSL VPN技术规范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GM/T 0029—2014签名验签服务器技术规范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3、评估原则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本次密评工作中严格遵循以下原则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（1）客观公正原则：密评人员在最小主观判断情况下,按照双方认可的密评方案，基于明确定义的评估方式和解释实施密评活动。</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（2）经济及重用性原则：密评工作可重用包括商用密码安全产品评估结果和信息系统密码评估结果在内的已有评估结果。重用结果应适用于受测系统，并且能够反应出当前系统的安全状态。</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（3）可重复、可再现性原则：任何密评人员，依照同样的要求，使用同样的评估方法，对每个密评实施过程的重复执行均应得到相同的密评结果。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（4）规范性原则：项目实施过程中，在人员、质量和时间进度等方面进行严格管控,在保证测试质童的前提下，按计划进度执行。评估工具、方法和过程要在双方认可的范围之内合法进行。</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（5）完整性原则：密评过程中，确保密评数据、过程记录的完整性。</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（6）最小影响原则：应充分考虑密评活动对受测系统的影响，采取必要的措施，避免影响受测系统正常运行。</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（7）保密原则：应确保密评项目涉及的所有信息，不会泄露给第三方单位或个人，不擅自利用这些信息。</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4、评估内容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商用密码应用安全性评估要求依据国家有关最新标准和规范对包括(但不限于)物理和环境安全、网络和通信安全、设备和计算安全、应用和数据安全、管理制度、人员管理、建设运行、应急处置等方面进行评估。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（1）物理和环境安全包括身份鉴别、电子门禁记录数据完整性、视频记录数据完整性、密码服务、密码产品等评估项。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（2）网络和通信安全包括身份鉴别、通信数据完整性、通信过程中重要数据的机密性、网络边界访问控制信息的完整性、安全接入认证、密码服务、密码产品等评估项。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（3）设备和计算安全包括身份鉴别、远程管理通道安全、系统资源访问控制信息完整性、重要信息资源安全标记完整性、日志记录完整性、重要可执行程序来源真实性、密码服务、密码产品等评估项。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（5）管理制度包括具备密码应用安全管理制度、密钥管理规制、建立操作规程、定期修订安全管理制度、明确管理制度发布流程、制度执行过程记录留存等评估项。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（6）人员管理包括了解并遵守密码相关法律法规和密码管理制度、建立密码应用岗位责任制度、建立上岗人员培训制度、定期进行安全岗位人员考核、建立关键岗位人员保密制度和调离制度等评估项。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（7）建设运行包括制定密码应用方案、制定密钥安全管理策略、制定实施方案、投入运行前进行密码应用安全性评估、定期开展密码应用安全性评估及攻防对抗演习等评估项。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（8）应急处置包括应急策略、事件处置、向有关主管部门上报处置情况等评估项。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5、服务成果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评估完成后，出具一式两份纸质版符合商用密码应用安全性评估相关技术标准要求的商用密码应用安全性评估报告和对应的PDF版。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415" w:type="dxa"/>
            <w:gridSpan w:val="6"/>
            <w:vAlign w:val="center"/>
          </w:tcPr>
          <w:p>
            <w:pPr>
              <w:pStyle w:val="26"/>
              <w:spacing w:line="440" w:lineRule="exact"/>
              <w:rPr>
                <w:rFonts w:ascii="宋体" w:hAnsi="宋体" w:cs="宋体"/>
                <w:color w:val="auto"/>
                <w:sz w:val="21"/>
                <w:szCs w:val="21"/>
                <w:highlight w:val="none"/>
              </w:rPr>
            </w:pPr>
            <w:r>
              <w:rPr>
                <w:rFonts w:hint="eastAsia" w:ascii="宋体" w:hAnsi="宋体" w:cs="宋体"/>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▲磋商报价要求</w:t>
            </w:r>
          </w:p>
        </w:tc>
        <w:tc>
          <w:tcPr>
            <w:tcW w:w="8963" w:type="dxa"/>
            <w:gridSpan w:val="4"/>
            <w:vAlign w:val="center"/>
          </w:tcPr>
          <w:p>
            <w:pPr>
              <w:pStyle w:val="26"/>
              <w:spacing w:line="440" w:lineRule="exact"/>
              <w:rPr>
                <w:rFonts w:ascii="宋体" w:hAnsi="宋体" w:cs="宋体"/>
                <w:color w:val="auto"/>
                <w:sz w:val="21"/>
                <w:szCs w:val="21"/>
                <w:highlight w:val="none"/>
              </w:rPr>
            </w:pPr>
            <w:r>
              <w:rPr>
                <w:rFonts w:hint="eastAsia"/>
                <w:color w:val="auto"/>
                <w:sz w:val="21"/>
                <w:szCs w:val="21"/>
                <w:highlight w:val="none"/>
              </w:rPr>
              <w:t>报价包括完成本项目“服务需求”中所列所有服务内容产生的所有成本、项目验收、税金、利润等费用，采购人不再另行支付任何费用。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▲提交服务成果时间及地点</w:t>
            </w:r>
          </w:p>
        </w:tc>
        <w:tc>
          <w:tcPr>
            <w:tcW w:w="8963" w:type="dxa"/>
            <w:gridSpan w:val="4"/>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提交服务成果时间：自接到采购人进场通知之日起50个工作日内完成广西农村土地承包经营权确权登记管理信息系统自治区级平台网络安全等级保护测评和商用密码应用安全性评估工作，并出具相应的报告。</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▲付款条件</w:t>
            </w:r>
          </w:p>
        </w:tc>
        <w:tc>
          <w:tcPr>
            <w:tcW w:w="8963" w:type="dxa"/>
            <w:gridSpan w:val="4"/>
            <w:shd w:val="clear" w:color="auto" w:fill="auto"/>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签订合同后，成交供应商出具成果报告10个工作日内采购人支付100%的合同款给成交供应商。成交供应商自收到合同款之日起3个工作日内开具合法的发票给采购人。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8963" w:type="dxa"/>
            <w:gridSpan w:val="4"/>
            <w:vAlign w:val="center"/>
          </w:tcPr>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1、成交供应商及其项目人员必须按采购人要求签署保密协议和保密承诺书，严格遵守协议要求。 </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2、成交供应商必须对测评过程中发现的问题进行风险分析，并协助采购人根据风险测评报告进行整改；特别是在测评期间，成交供应商发现信息系统存在紧急或高危漏洞的，需在完成该系统测评之日起3个工作日内向采购人提交相关漏洞报告，并协助整改；发现其他对测评结果影响较大的问题的，应在 1 周内出具整改报告给采购人，并为采购人提供整改咨询和复测服务。</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3、处理问题响应时间：接到采购人处理问题通知后1小时内到达采购人指定现场。   </w:t>
            </w:r>
          </w:p>
        </w:tc>
      </w:tr>
    </w:tbl>
    <w:p>
      <w:pPr>
        <w:pStyle w:val="39"/>
        <w:ind w:firstLine="210"/>
        <w:rPr>
          <w:rFonts w:ascii="宋体" w:hAnsi="宋体" w:cs="宋体"/>
          <w:color w:val="auto"/>
          <w:highlight w:val="none"/>
        </w:rPr>
      </w:pPr>
    </w:p>
    <w:p>
      <w:pPr>
        <w:pStyle w:val="19"/>
        <w:spacing w:line="440" w:lineRule="exact"/>
        <w:rPr>
          <w:rFonts w:ascii="宋体" w:hAnsi="宋体" w:cs="宋体"/>
          <w:color w:val="auto"/>
          <w:sz w:val="32"/>
          <w:szCs w:val="32"/>
          <w:highlight w:val="none"/>
        </w:rPr>
      </w:pPr>
      <w:r>
        <w:rPr>
          <w:rFonts w:hint="eastAsia" w:ascii="宋体" w:hAnsi="宋体" w:cs="宋体"/>
          <w:b/>
          <w:color w:val="auto"/>
          <w:sz w:val="24"/>
          <w:highlight w:val="none"/>
        </w:rPr>
        <w:br w:type="page"/>
      </w:r>
      <w:r>
        <w:rPr>
          <w:rFonts w:hint="eastAsia" w:ascii="宋体" w:hAnsi="宋体" w:cs="宋体"/>
          <w:color w:val="auto"/>
          <w:sz w:val="32"/>
          <w:szCs w:val="32"/>
          <w:highlight w:val="none"/>
        </w:rPr>
        <w:t>附件1：</w:t>
      </w:r>
    </w:p>
    <w:p>
      <w:pPr>
        <w:spacing w:before="7" w:line="440" w:lineRule="exact"/>
        <w:rPr>
          <w:rFonts w:ascii="宋体" w:hAnsi="宋体" w:cs="宋体"/>
          <w:color w:val="auto"/>
          <w:sz w:val="17"/>
          <w:szCs w:val="17"/>
          <w:highlight w:val="none"/>
        </w:rPr>
      </w:pPr>
    </w:p>
    <w:p>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41"/>
        <w:tblW w:w="9452" w:type="dxa"/>
        <w:tblInd w:w="93" w:type="dxa"/>
        <w:tblLayout w:type="fixed"/>
        <w:tblCellMar>
          <w:top w:w="0" w:type="dxa"/>
          <w:left w:w="108" w:type="dxa"/>
          <w:bottom w:w="0" w:type="dxa"/>
          <w:right w:w="108" w:type="dxa"/>
        </w:tblCellMar>
      </w:tblPr>
      <w:tblGrid>
        <w:gridCol w:w="660"/>
        <w:gridCol w:w="1116"/>
        <w:gridCol w:w="1516"/>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52" w:type="dxa"/>
            <w:gridSpan w:val="3"/>
            <w:tcBorders>
              <w:top w:val="single" w:color="000000" w:sz="8" w:space="0"/>
              <w:left w:val="nil"/>
              <w:bottom w:val="single" w:color="000000" w:sz="8" w:space="0"/>
              <w:right w:val="single" w:color="000000" w:sz="8" w:space="0"/>
            </w:tcBorders>
            <w:noWrap/>
            <w:vAlign w:val="center"/>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rPr>
          <w:trHeight w:val="495" w:hRule="atLeast"/>
        </w:trPr>
        <w:tc>
          <w:tcPr>
            <w:tcW w:w="660"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rPr>
          <w:trHeight w:val="73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rPr>
          <w:trHeight w:val="97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auto" w:sz="8" w:space="0"/>
              <w:bottom w:val="single" w:color="000000"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widowControl/>
        <w:spacing w:line="240" w:lineRule="atLeast"/>
        <w:rPr>
          <w:rFonts w:ascii="宋体" w:hAnsi="宋体" w:cs="宋体"/>
          <w:color w:val="auto"/>
          <w:sz w:val="20"/>
          <w:szCs w:val="20"/>
          <w:highlight w:val="none"/>
        </w:rPr>
      </w:pPr>
    </w:p>
    <w:p>
      <w:pPr>
        <w:pStyle w:val="19"/>
        <w:spacing w:line="440" w:lineRule="exact"/>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pPr>
        <w:pStyle w:val="19"/>
        <w:spacing w:line="440" w:lineRule="exact"/>
        <w:rPr>
          <w:rFonts w:ascii="宋体" w:hAnsi="宋体" w:cs="宋体"/>
          <w:color w:val="auto"/>
          <w:sz w:val="32"/>
          <w:szCs w:val="32"/>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.以“★”标注的为政府强制采购产品。</w:t>
      </w:r>
      <w:r>
        <w:rPr>
          <w:rFonts w:hint="eastAsia" w:ascii="宋体" w:hAnsi="宋体" w:cs="宋体"/>
          <w:color w:val="auto"/>
          <w:highlight w:val="none"/>
        </w:rPr>
        <w:br w:type="page"/>
      </w:r>
      <w:r>
        <w:rPr>
          <w:rFonts w:hint="eastAsia" w:ascii="宋体" w:hAnsi="宋体" w:cs="宋体"/>
          <w:color w:val="auto"/>
          <w:sz w:val="32"/>
          <w:szCs w:val="32"/>
          <w:highlight w:val="none"/>
        </w:rPr>
        <w:t>附件2：</w:t>
      </w:r>
    </w:p>
    <w:p>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600" w:type="dxa"/>
        <w:tblInd w:w="250" w:type="dxa"/>
        <w:tblLayout w:type="fixed"/>
        <w:tblCellMar>
          <w:top w:w="0" w:type="dxa"/>
          <w:left w:w="108" w:type="dxa"/>
          <w:bottom w:w="0" w:type="dxa"/>
          <w:right w:w="108" w:type="dxa"/>
        </w:tblCellMar>
      </w:tblPr>
      <w:tblGrid>
        <w:gridCol w:w="1700"/>
        <w:gridCol w:w="1383"/>
        <w:gridCol w:w="913"/>
        <w:gridCol w:w="1619"/>
        <w:gridCol w:w="2535"/>
        <w:gridCol w:w="1450"/>
      </w:tblGrid>
      <w:tr>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2535"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spacing w:line="240" w:lineRule="atLeast"/>
        <w:ind w:firstLine="525" w:firstLineChars="250"/>
        <w:rPr>
          <w:rFonts w:ascii="宋体" w:hAnsi="宋体" w:cs="宋体"/>
          <w:color w:val="auto"/>
          <w:szCs w:val="21"/>
          <w:highlight w:val="none"/>
        </w:rPr>
      </w:pPr>
    </w:p>
    <w:p>
      <w:pPr>
        <w:spacing w:line="240" w:lineRule="atLeas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pStyle w:val="4"/>
        <w:spacing w:line="440" w:lineRule="exact"/>
        <w:jc w:val="center"/>
        <w:rPr>
          <w:rFonts w:ascii="宋体" w:hAnsi="宋体" w:cs="宋体"/>
          <w:color w:val="auto"/>
          <w:sz w:val="32"/>
          <w:szCs w:val="32"/>
          <w:highlight w:val="none"/>
        </w:rPr>
      </w:pPr>
      <w:bookmarkStart w:id="67" w:name="_Toc88747294"/>
      <w:r>
        <w:rPr>
          <w:rFonts w:hint="eastAsia" w:ascii="宋体" w:hAnsi="宋体" w:cs="宋体"/>
          <w:color w:val="auto"/>
          <w:sz w:val="32"/>
          <w:szCs w:val="32"/>
          <w:highlight w:val="none"/>
        </w:rPr>
        <w:t>第四章 响应文件格式</w:t>
      </w:r>
      <w:bookmarkEnd w:id="67"/>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left"/>
        <w:rPr>
          <w:rFonts w:ascii="宋体" w:hAnsi="宋体" w:cs="宋体"/>
          <w:b/>
          <w:bCs/>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bCs/>
          <w:color w:val="auto"/>
          <w:szCs w:val="21"/>
          <w:highlight w:val="none"/>
        </w:rPr>
        <w:t>一、响应文件袋外层包装封面格式</w:t>
      </w: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pPr>
        <w:snapToGrid w:val="0"/>
        <w:spacing w:before="120" w:beforeLines="50" w:after="50" w:line="440" w:lineRule="exact"/>
        <w:jc w:val="center"/>
        <w:rPr>
          <w:rFonts w:ascii="宋体" w:hAnsi="宋体" w:cs="宋体"/>
          <w:bCs/>
          <w:color w:val="auto"/>
          <w:sz w:val="52"/>
          <w:szCs w:val="52"/>
          <w:highlight w:val="none"/>
        </w:rPr>
      </w:pPr>
    </w:p>
    <w:p>
      <w:pPr>
        <w:snapToGrid w:val="0"/>
        <w:spacing w:before="120" w:beforeLines="50" w:after="50" w:line="440" w:lineRule="exact"/>
        <w:jc w:val="center"/>
        <w:rPr>
          <w:rFonts w:ascii="宋体" w:hAnsi="宋体" w:cs="宋体"/>
          <w:bCs/>
          <w:color w:val="auto"/>
          <w:sz w:val="52"/>
          <w:szCs w:val="52"/>
          <w:highlight w:val="none"/>
        </w:rPr>
      </w:pP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450" w:firstLineChars="150"/>
        <w:rPr>
          <w:rFonts w:ascii="宋体" w:hAnsi="宋体" w:cs="宋体"/>
          <w:bCs/>
          <w:color w:val="auto"/>
          <w:sz w:val="30"/>
          <w:szCs w:val="30"/>
          <w:highlight w:val="none"/>
        </w:rPr>
      </w:pPr>
    </w:p>
    <w:p>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pPr>
        <w:snapToGrid w:val="0"/>
        <w:spacing w:before="120" w:beforeLines="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360" w:firstLineChars="150"/>
        <w:rPr>
          <w:rFonts w:ascii="宋体" w:hAnsi="宋体" w:cs="宋体"/>
          <w:bCs/>
          <w:color w:val="auto"/>
          <w:sz w:val="30"/>
          <w:szCs w:val="30"/>
          <w:highlight w:val="none"/>
        </w:rPr>
      </w:pPr>
      <w:r>
        <w:rPr>
          <w:rFonts w:hint="eastAsia" w:ascii="宋体" w:hAnsi="宋体" w:cs="宋体"/>
          <w:bCs/>
          <w:color w:val="auto"/>
          <w:sz w:val="24"/>
          <w:highlight w:val="none"/>
        </w:rPr>
        <w:t>在首次响应文件提交截止时间之前不得解密</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0"/>
        <w:rPr>
          <w:rFonts w:ascii="宋体" w:hAnsi="宋体" w:cs="宋体"/>
          <w:bCs/>
          <w:color w:val="auto"/>
          <w:sz w:val="30"/>
          <w:szCs w:val="30"/>
          <w:highlight w:val="none"/>
        </w:rPr>
      </w:pPr>
    </w:p>
    <w:p>
      <w:pPr>
        <w:pStyle w:val="11"/>
        <w:snapToGrid w:val="0"/>
        <w:spacing w:before="50" w:after="50" w:line="440" w:lineRule="exact"/>
        <w:ind w:firstLine="450" w:firstLineChars="150"/>
        <w:jc w:val="center"/>
        <w:rPr>
          <w:rFonts w:ascii="宋体" w:hAnsi="宋体" w:cs="宋体"/>
          <w:color w:val="auto"/>
          <w:szCs w:val="21"/>
          <w:highlight w:val="none"/>
        </w:rPr>
      </w:pPr>
      <w:r>
        <w:rPr>
          <w:rFonts w:hint="eastAsia" w:ascii="宋体" w:hAnsi="宋体" w:cs="宋体"/>
          <w:bCs/>
          <w:color w:val="auto"/>
          <w:sz w:val="30"/>
          <w:szCs w:val="30"/>
          <w:highlight w:val="none"/>
        </w:rPr>
        <w:t xml:space="preserve">                          年    月    日</w:t>
      </w:r>
    </w:p>
    <w:p>
      <w:pPr>
        <w:snapToGrid w:val="0"/>
        <w:spacing w:before="120" w:beforeLines="50" w:after="50" w:line="440" w:lineRule="exact"/>
        <w:outlineLvl w:val="1"/>
        <w:rPr>
          <w:rFonts w:ascii="宋体" w:hAnsi="宋体" w:cs="宋体"/>
          <w:b/>
          <w:bCs/>
          <w:color w:val="auto"/>
          <w:szCs w:val="21"/>
          <w:highlight w:val="none"/>
        </w:rPr>
      </w:pPr>
      <w:bookmarkStart w:id="68" w:name="_Toc254970557"/>
      <w:bookmarkStart w:id="69" w:name="_Toc254970698"/>
      <w:r>
        <w:rPr>
          <w:rFonts w:hint="eastAsia" w:ascii="宋体" w:hAnsi="宋体" w:cs="宋体"/>
          <w:b/>
          <w:bCs/>
          <w:color w:val="auto"/>
          <w:szCs w:val="21"/>
          <w:highlight w:val="none"/>
        </w:rPr>
        <w:br w:type="page"/>
      </w:r>
      <w:bookmarkEnd w:id="68"/>
      <w:bookmarkEnd w:id="69"/>
      <w:r>
        <w:rPr>
          <w:rFonts w:hint="eastAsia" w:ascii="宋体" w:hAnsi="宋体" w:cs="宋体"/>
          <w:b/>
          <w:bCs/>
          <w:color w:val="auto"/>
          <w:szCs w:val="21"/>
          <w:highlight w:val="none"/>
        </w:rPr>
        <w:t>二、响应文件格式</w:t>
      </w: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440" w:lineRule="exact"/>
        <w:jc w:val="center"/>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440" w:lineRule="exact"/>
        <w:jc w:val="center"/>
        <w:rPr>
          <w:rFonts w:ascii="宋体" w:hAnsi="宋体" w:cs="宋体"/>
          <w:color w:val="auto"/>
          <w:sz w:val="28"/>
          <w:szCs w:val="28"/>
          <w:highlight w:val="none"/>
        </w:rPr>
      </w:pP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1、资格证明文件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磋商声明书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1.2投标供应商</w:t>
      </w:r>
      <w:r>
        <w:rPr>
          <w:rFonts w:hint="eastAsia" w:ascii="宋体" w:hAnsi="宋体" w:cs="宋体"/>
          <w:color w:val="auto"/>
          <w:highlight w:val="none"/>
        </w:rPr>
        <w:t>合法的主体资格证明（如营业执照、事业单位法人证书、执业许可证、个体工商户营业执照、自然人身份证等）复印件</w:t>
      </w:r>
      <w:r>
        <w:rPr>
          <w:rFonts w:hint="eastAsia" w:ascii="宋体" w:hAnsi="宋体" w:cs="宋体"/>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color w:val="auto"/>
          <w:szCs w:val="21"/>
          <w:highlight w:val="none"/>
        </w:rPr>
        <w:t>投标供应商依法缴纳税收的相关材料</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投标供应商依法缴纳社会保障资金的相关材料</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1.5供应商财务状况报告复印件……………………………………</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bCs/>
          <w:color w:val="auto"/>
          <w:szCs w:val="21"/>
          <w:highlight w:val="none"/>
        </w:rPr>
        <w:t>1.6参加政府采购活动前三年内在经营活动中没有重大违法记录和不良信用记录的书面声明书………</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1.7总公司“营业执照”副本复印件和总公司对供应商的授权书原件（分支机构参与投标时提供）………</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1.8供应商直接控股、管理关系信息表……………………………………</w:t>
      </w:r>
    </w:p>
    <w:p>
      <w:pPr>
        <w:tabs>
          <w:tab w:val="left" w:pos="1418"/>
        </w:tabs>
        <w:snapToGrid w:val="0"/>
        <w:spacing w:before="50" w:after="50" w:line="440" w:lineRule="exact"/>
        <w:rPr>
          <w:rFonts w:hint="eastAsia" w:ascii="宋体" w:hAnsi="宋体" w:cs="宋体"/>
          <w:bCs/>
          <w:color w:val="auto"/>
          <w:szCs w:val="21"/>
          <w:highlight w:val="none"/>
        </w:rPr>
      </w:pPr>
      <w:r>
        <w:rPr>
          <w:rFonts w:hint="eastAsia" w:ascii="宋体" w:hAnsi="宋体" w:cs="宋体"/>
          <w:bCs/>
          <w:color w:val="auto"/>
          <w:szCs w:val="21"/>
          <w:highlight w:val="none"/>
        </w:rPr>
        <w:t>1.9联合体协议书（联合体投标时提供）……………………………………</w:t>
      </w:r>
    </w:p>
    <w:p>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1.10特定资格条件（如有要求）</w:t>
      </w:r>
      <w:r>
        <w:rPr>
          <w:rFonts w:hint="eastAsia" w:ascii="宋体" w:hAnsi="宋体" w:cs="宋体"/>
          <w:bCs/>
          <w:color w:val="auto"/>
          <w:szCs w:val="21"/>
          <w:highlight w:val="none"/>
        </w:rPr>
        <w:t>………………</w:t>
      </w:r>
    </w:p>
    <w:p>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1.11</w:t>
      </w:r>
      <w:r>
        <w:rPr>
          <w:rFonts w:hint="eastAsia" w:ascii="宋体" w:hAnsi="宋体" w:cs="宋体"/>
          <w:bCs/>
          <w:color w:val="auto"/>
          <w:szCs w:val="21"/>
          <w:highlight w:val="none"/>
        </w:rPr>
        <w:t>中小企业声明函或监狱企业由省级以上监狱管理局、戒毒管理局（含新疆生产建设兵团）出具的属于监狱企业的证明文件或残疾人福利性单位声明函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如有要求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pPr>
        <w:widowControl/>
        <w:spacing w:line="440" w:lineRule="exact"/>
        <w:rPr>
          <w:rFonts w:ascii="宋体" w:hAnsi="宋体" w:cs="宋体"/>
          <w:b/>
          <w:bCs/>
          <w:color w:val="auto"/>
          <w:sz w:val="24"/>
          <w:highlight w:val="none"/>
        </w:rPr>
      </w:pPr>
    </w:p>
    <w:p>
      <w:pPr>
        <w:tabs>
          <w:tab w:val="left" w:pos="2625"/>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pPr>
        <w:spacing w:line="440" w:lineRule="exact"/>
        <w:jc w:val="center"/>
        <w:rPr>
          <w:rFonts w:ascii="宋体" w:hAnsi="宋体" w:cs="宋体"/>
          <w:b/>
          <w:color w:val="auto"/>
          <w:sz w:val="32"/>
          <w:szCs w:val="32"/>
          <w:highlight w:val="none"/>
        </w:rPr>
      </w:pPr>
    </w:p>
    <w:p>
      <w:pPr>
        <w:pStyle w:val="23"/>
        <w:spacing w:line="440" w:lineRule="exact"/>
        <w:rPr>
          <w:rFonts w:hAnsi="宋体" w:cs="宋体"/>
          <w:color w:val="auto"/>
          <w:sz w:val="21"/>
          <w:highlight w:val="none"/>
        </w:rPr>
      </w:pPr>
      <w:r>
        <w:rPr>
          <w:rFonts w:hint="eastAsia" w:hAnsi="宋体" w:cs="宋体"/>
          <w:color w:val="auto"/>
          <w:sz w:val="21"/>
          <w:highlight w:val="none"/>
        </w:rPr>
        <w:t>致：（采购人单位名称）：</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（4）响应磋商文件规定的响应文件有效期。</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pPr>
        <w:pStyle w:val="23"/>
        <w:spacing w:line="440" w:lineRule="exact"/>
        <w:jc w:val="center"/>
        <w:rPr>
          <w:rFonts w:hAnsi="宋体" w:cs="宋体"/>
          <w:color w:val="auto"/>
          <w:sz w:val="21"/>
          <w:highlight w:val="none"/>
        </w:rPr>
      </w:pPr>
      <w:r>
        <w:rPr>
          <w:rFonts w:hint="eastAsia" w:hAnsi="宋体" w:cs="宋体"/>
          <w:color w:val="auto"/>
          <w:sz w:val="21"/>
          <w:highlight w:val="none"/>
        </w:rPr>
        <w:t>供应商名称（电子签章）：</w:t>
      </w:r>
    </w:p>
    <w:p>
      <w:pPr>
        <w:snapToGrid w:val="0"/>
        <w:spacing w:before="50" w:after="50" w:line="440" w:lineRule="exact"/>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说明：</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1.供应商可以自行通过“信用中国”（www.creditchina.gov.cn）和“中国政府采购网”网站（www.ccgp.gov.cn）查询供应商相关主体的信用记录。查询时间为本项目投标截止时间前10日至投标截止时间中任意一天。在资格审查阶段经采购人或采购代理机构查询，对列入失信被执行人、重大税收违法案件当事人名单、政府采购严重违法失信行为记录名单的供应商，将被拒绝参与本项目政府采购活动。</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二、政府采购供应商资格信用承诺函格式</w:t>
      </w:r>
    </w:p>
    <w:p>
      <w:pPr>
        <w:autoSpaceDE w:val="0"/>
        <w:autoSpaceDN w:val="0"/>
        <w:adjustRightInd w:val="0"/>
        <w:spacing w:line="440" w:lineRule="exact"/>
        <w:jc w:val="left"/>
        <w:rPr>
          <w:rFonts w:ascii="宋体" w:hAnsi="宋体" w:cs="宋体"/>
          <w:b/>
          <w:bCs/>
          <w:color w:val="auto"/>
          <w:szCs w:val="21"/>
          <w:highlight w:val="none"/>
        </w:rPr>
      </w:pPr>
    </w:p>
    <w:p>
      <w:pPr>
        <w:autoSpaceDE w:val="0"/>
        <w:autoSpaceDN w:val="0"/>
        <w:adjustRightIn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pPr>
        <w:pStyle w:val="32"/>
        <w:spacing w:line="440" w:lineRule="exact"/>
        <w:rPr>
          <w:rFonts w:ascii="宋体" w:hAnsi="宋体" w:cs="宋体"/>
          <w:color w:val="auto"/>
          <w:sz w:val="21"/>
          <w:szCs w:val="21"/>
          <w:highlight w:val="none"/>
        </w:rPr>
      </w:pPr>
    </w:p>
    <w:p>
      <w:pPr>
        <w:autoSpaceDE w:val="0"/>
        <w:autoSpaceDN w:val="0"/>
        <w:adjustRightInd w:val="0"/>
        <w:spacing w:line="44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我方自愿参加项目（项目编号：）的政府采购活动，并郑重承诺我方符合《中华人民共和国政府采购法》第二十二条规定的条件：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p>
    <w:p>
      <w:pPr>
        <w:pStyle w:val="40"/>
        <w:spacing w:line="440" w:lineRule="exact"/>
        <w:ind w:firstLine="444"/>
        <w:rPr>
          <w:rFonts w:ascii="宋体" w:hAnsi="宋体" w:cs="宋体"/>
          <w:color w:val="auto"/>
          <w:spacing w:val="6"/>
          <w:szCs w:val="21"/>
          <w:highlight w:val="none"/>
        </w:rPr>
      </w:pPr>
    </w:p>
    <w:p>
      <w:pPr>
        <w:spacing w:line="440" w:lineRule="exact"/>
        <w:rPr>
          <w:rFonts w:ascii="宋体" w:hAnsi="宋体" w:cs="宋体"/>
          <w:color w:val="auto"/>
          <w:szCs w:val="21"/>
          <w:highlight w:val="none"/>
        </w:rPr>
      </w:pPr>
    </w:p>
    <w:p>
      <w:pPr>
        <w:spacing w:line="44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p>
    <w:p>
      <w:pPr>
        <w:spacing w:line="440" w:lineRule="exact"/>
        <w:jc w:val="center"/>
        <w:rPr>
          <w:rFonts w:ascii="宋体" w:hAnsi="宋体" w:cs="宋体"/>
          <w:color w:val="auto"/>
          <w:szCs w:val="21"/>
          <w:highlight w:val="none"/>
          <w:u w:val="single"/>
        </w:rPr>
      </w:pPr>
    </w:p>
    <w:p>
      <w:pPr>
        <w:pStyle w:val="23"/>
        <w:spacing w:line="440" w:lineRule="exact"/>
        <w:ind w:firstLine="3570" w:firstLineChars="1700"/>
        <w:rPr>
          <w:rFonts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p>
    <w:p>
      <w:pPr>
        <w:pStyle w:val="23"/>
        <w:spacing w:line="440" w:lineRule="exact"/>
        <w:rPr>
          <w:rFonts w:hAnsi="宋体" w:cs="宋体"/>
          <w:color w:val="auto"/>
          <w:sz w:val="21"/>
          <w:highlight w:val="none"/>
        </w:rPr>
      </w:pPr>
    </w:p>
    <w:p>
      <w:pPr>
        <w:pStyle w:val="23"/>
        <w:spacing w:line="440" w:lineRule="exact"/>
        <w:jc w:val="right"/>
        <w:rPr>
          <w:rFonts w:hAnsi="宋体" w:cs="宋体"/>
          <w:color w:val="auto"/>
          <w:sz w:val="21"/>
          <w:highlight w:val="none"/>
        </w:rPr>
      </w:pPr>
      <w:r>
        <w:rPr>
          <w:rFonts w:hint="eastAsia" w:hAnsi="宋体" w:cs="宋体"/>
          <w:color w:val="auto"/>
          <w:sz w:val="21"/>
          <w:highlight w:val="none"/>
        </w:rPr>
        <w:t>日期：       年   月   日</w:t>
      </w: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snapToGrid w:val="0"/>
        <w:spacing w:before="120" w:beforeLines="50" w:after="50" w:line="440" w:lineRule="exact"/>
        <w:rPr>
          <w:rFonts w:ascii="宋体" w:hAnsi="宋体" w:cs="宋体"/>
          <w:b/>
          <w:color w:val="auto"/>
          <w:highlight w:val="none"/>
        </w:rPr>
      </w:pPr>
    </w:p>
    <w:p>
      <w:pPr>
        <w:snapToGrid w:val="0"/>
        <w:spacing w:before="120" w:beforeLines="50" w:after="50" w:line="440" w:lineRule="exact"/>
        <w:rPr>
          <w:rFonts w:ascii="宋体" w:hAnsi="宋体" w:cs="宋体"/>
          <w:b/>
          <w:bCs/>
          <w:color w:val="auto"/>
          <w:sz w:val="24"/>
          <w:highlight w:val="none"/>
        </w:rPr>
      </w:pPr>
      <w:r>
        <w:rPr>
          <w:rFonts w:hint="eastAsia" w:ascii="宋体" w:hAnsi="宋体" w:cs="宋体"/>
          <w:b/>
          <w:color w:val="auto"/>
          <w:highlight w:val="none"/>
        </w:rPr>
        <w:t>三、供应商直接控股、管理关系信息表格式</w:t>
      </w:r>
    </w:p>
    <w:p>
      <w:pPr>
        <w:snapToGrid w:val="0"/>
        <w:spacing w:before="50" w:after="120" w:afterLines="50" w:line="440" w:lineRule="exact"/>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bl>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before="50" w:after="120" w:afterLines="50" w:line="440" w:lineRule="exact"/>
        <w:jc w:val="center"/>
        <w:rPr>
          <w:rFonts w:ascii="宋体" w:hAnsi="宋体" w:cs="宋体"/>
          <w:color w:val="auto"/>
          <w:szCs w:val="21"/>
          <w:highlight w:val="none"/>
        </w:rPr>
      </w:pPr>
    </w:p>
    <w:p>
      <w:pPr>
        <w:snapToGrid w:val="0"/>
        <w:spacing w:before="50" w:after="120" w:afterLines="50" w:line="440" w:lineRule="exact"/>
        <w:jc w:val="center"/>
        <w:rPr>
          <w:rFonts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bl>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pPr>
        <w:pStyle w:val="23"/>
        <w:tabs>
          <w:tab w:val="left" w:pos="5529"/>
        </w:tabs>
        <w:wordWrap w:val="0"/>
        <w:spacing w:line="440" w:lineRule="exact"/>
        <w:ind w:firstLine="3240" w:firstLineChars="1620"/>
        <w:rPr>
          <w:rFonts w:hAnsi="宋体" w:cs="宋体"/>
          <w:color w:val="auto"/>
          <w:highlight w:val="none"/>
        </w:rPr>
      </w:pPr>
    </w:p>
    <w:p>
      <w:pPr>
        <w:pStyle w:val="23"/>
        <w:tabs>
          <w:tab w:val="left" w:pos="5529"/>
        </w:tabs>
        <w:wordWrap w:val="0"/>
        <w:spacing w:line="440" w:lineRule="exact"/>
        <w:ind w:firstLine="3240" w:firstLineChars="1620"/>
        <w:rPr>
          <w:rFonts w:hAnsi="宋体" w:cs="宋体"/>
          <w:color w:val="auto"/>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b/>
          <w:bCs/>
          <w:color w:val="auto"/>
          <w:szCs w:val="21"/>
          <w:highlight w:val="none"/>
        </w:rPr>
      </w:pPr>
      <w:r>
        <w:rPr>
          <w:rFonts w:hint="eastAsia" w:ascii="宋体" w:hAnsi="宋体" w:cs="宋体"/>
          <w:color w:val="auto"/>
          <w:szCs w:val="21"/>
          <w:highlight w:val="none"/>
        </w:rPr>
        <w:t>日期： 年 月 日</w:t>
      </w:r>
    </w:p>
    <w:p>
      <w:pPr>
        <w:snapToGrid w:val="0"/>
        <w:spacing w:before="120" w:beforeLines="50" w:after="50" w:line="440" w:lineRule="exact"/>
        <w:rPr>
          <w:rFonts w:ascii="宋体" w:hAnsi="宋体" w:cs="宋体"/>
          <w:b/>
          <w:bCs/>
          <w:color w:val="auto"/>
          <w:szCs w:val="21"/>
          <w:highlight w:val="none"/>
        </w:rPr>
        <w:sectPr>
          <w:pgSz w:w="11906" w:h="16838"/>
          <w:pgMar w:top="1134" w:right="1247" w:bottom="1134" w:left="1247" w:header="851" w:footer="992" w:gutter="0"/>
          <w:cols w:space="720" w:num="1"/>
          <w:docGrid w:linePitch="312" w:charSpace="0"/>
        </w:sect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line="440" w:lineRule="exact"/>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440" w:lineRule="exact"/>
        <w:jc w:val="center"/>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440" w:lineRule="exact"/>
        <w:jc w:val="center"/>
        <w:rPr>
          <w:rFonts w:ascii="宋体" w:hAnsi="宋体" w:cs="宋体"/>
          <w:color w:val="auto"/>
          <w:sz w:val="28"/>
          <w:szCs w:val="28"/>
          <w:highlight w:val="none"/>
        </w:rPr>
      </w:pP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1、商务和技术文件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法定代表人身份证明书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1.2法定代表人授权委托书及被授权委托人身份证复印件………………………………</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1.3供应商情况介绍………………………………</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商务响应表</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技术响应表</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拟投入人员汇总表（附拟投入人员相关证书复印件）</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w:t>
      </w:r>
      <w:r>
        <w:rPr>
          <w:rFonts w:hint="eastAsia" w:ascii="宋体" w:hAnsi="宋体" w:cs="宋体"/>
          <w:color w:val="auto"/>
          <w:szCs w:val="21"/>
          <w:highlight w:val="none"/>
        </w:rPr>
        <w:t>项目实施方案</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szCs w:val="21"/>
          <w:highlight w:val="none"/>
        </w:rPr>
        <w:t>服务承诺书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1.9代理服务费承诺书……………………………………</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1.10</w:t>
      </w:r>
      <w:r>
        <w:rPr>
          <w:rFonts w:hint="eastAsia" w:ascii="宋体" w:hAnsi="宋体" w:cs="宋体"/>
          <w:color w:val="auto"/>
          <w:szCs w:val="21"/>
          <w:highlight w:val="none"/>
        </w:rPr>
        <w:t>供应商对本项目的合理化建议和改进措施</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1.11</w:t>
      </w:r>
      <w:r>
        <w:rPr>
          <w:rFonts w:hint="eastAsia" w:ascii="宋体" w:hAnsi="宋体" w:cs="宋体"/>
          <w:color w:val="auto"/>
          <w:highlight w:val="none"/>
        </w:rPr>
        <w:t>供应商认为需要提供的其他证明材料</w:t>
      </w:r>
      <w:r>
        <w:rPr>
          <w:rFonts w:hint="eastAsia" w:ascii="宋体" w:hAnsi="宋体" w:cs="宋体"/>
          <w:bCs/>
          <w:color w:val="auto"/>
          <w:szCs w:val="21"/>
          <w:highlight w:val="none"/>
        </w:rPr>
        <w:t>……………………………………</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pPr>
        <w:pStyle w:val="23"/>
        <w:spacing w:line="440" w:lineRule="exact"/>
        <w:ind w:left="-10" w:firstLine="10" w:firstLineChars="3"/>
        <w:jc w:val="center"/>
        <w:rPr>
          <w:rFonts w:hAnsi="宋体" w:cs="宋体"/>
          <w:b/>
          <w:color w:val="auto"/>
          <w:sz w:val="32"/>
          <w:highlight w:val="none"/>
        </w:rPr>
      </w:pPr>
    </w:p>
    <w:p>
      <w:pPr>
        <w:pStyle w:val="23"/>
        <w:spacing w:line="440" w:lineRule="exact"/>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法定代表人身份证明书</w:t>
      </w:r>
    </w:p>
    <w:p>
      <w:pPr>
        <w:pStyle w:val="23"/>
        <w:spacing w:line="440" w:lineRule="exact"/>
        <w:ind w:left="-10" w:firstLine="13" w:firstLineChars="3"/>
        <w:jc w:val="center"/>
        <w:rPr>
          <w:rFonts w:hAnsi="宋体" w:cs="宋体"/>
          <w:b/>
          <w:color w:val="auto"/>
          <w:sz w:val="44"/>
          <w:highlight w:val="none"/>
        </w:rPr>
      </w:pPr>
    </w:p>
    <w:p>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单位名称：</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单位性质：</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地    址：</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成立时间：年月日</w:t>
      </w:r>
    </w:p>
    <w:p>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经营期限：</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姓名：性别：年龄：职务：</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特此证明。</w:t>
      </w: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12700</wp:posOffset>
                </wp:positionV>
                <wp:extent cx="3239770" cy="2029460"/>
                <wp:effectExtent l="9525" t="12700" r="8255" b="5715"/>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3239770" cy="202946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法定代表人第二代居民身份证复印件</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9pt;margin-top:1pt;height:159.8pt;width:255.1pt;z-index:251662336;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yeZ7WAAAACAEAAA8AAAAAAAAAAQAgAAAAIgAAAGRycy9kb3du&#10;cmV2LnhtbFBLAQIUABQAAAAIAIdO4kArWGHOOgIAAHsEAAAOAAAAAAAAAAEAIAAAACUBAABkcnMv&#10;ZTJvRG9jLnhtbFBLBQYAAAAABgAGAFkBAADRBQAAAAA=&#10;">
                <v:fill on="t" focussize="0,0"/>
                <v:stroke color="#000000" miterlimit="8"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2pt;z-index:25166131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ClMY4Y1wEAAKEDAAAOAAAAAAAAAAEAIAAA&#10;AB8BAABkcnMvZTJvRG9jLnhtbFBLBQYAAAAABgAGAFkBAABoBQAAAAA=&#10;">
                <v:fill on="f" focussize="0,0"/>
                <v:stroke color="#000000" joinstyle="round"/>
                <v:imagedata o:title=""/>
                <o:lock v:ext="edit" aspectratio="f"/>
                <w10:wrap type="topAndBottom"/>
              </v:line>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ind w:firstLine="6000" w:firstLineChars="3000"/>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20720" cy="1893570"/>
                <wp:effectExtent l="9525" t="8890" r="8255" b="1206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20720" cy="18935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法定代表人第二代居民身份证复印件</w:t>
                            </w:r>
                          </w:p>
                          <w:p>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49.1pt;width:253.6pt;z-index:251663360;mso-width-relative:page;mso-height-relative:page;" fillcolor="#FFFFFF" filled="t" stroked="t" coordsize="21600,21600" o:gfxdata="UEsDBAoAAAAAAIdO4kAAAAAAAAAAAAAAAAAEAAAAZHJzL1BLAwQUAAAACACHTuJAT8O04d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w7Th1wAAAAkBAAAPAAAAAAAAAAEAIAAAACIAAABkcnMvZG93&#10;bnJldi54bWxQSwECFAAUAAAACACHTuJALyW2ezoCAAB7BAAADgAAAAAAAAABACAAAAAmAQAAZHJz&#10;L2Uyb0RvYy54bWxQSwUGAAAAAAYABgBZAQAA0gUAAAAA&#10;">
                <v:fill on="t" focussize="0,0"/>
                <v:stroke color="#000000" miterlimit="8"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（背面）</w:t>
                      </w:r>
                    </w:p>
                  </w:txbxContent>
                </v:textbox>
              </v:rect>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spacing w:line="440" w:lineRule="exact"/>
        <w:rPr>
          <w:rFonts w:ascii="宋体" w:hAnsi="宋体" w:cs="宋体"/>
          <w:color w:val="auto"/>
          <w:highlight w:val="none"/>
        </w:rPr>
      </w:pPr>
    </w:p>
    <w:p>
      <w:pPr>
        <w:pStyle w:val="23"/>
        <w:spacing w:line="440" w:lineRule="exact"/>
        <w:ind w:firstLine="5500" w:firstLineChars="2750"/>
        <w:rPr>
          <w:rFonts w:hAnsi="宋体" w:cs="宋体"/>
          <w:color w:val="auto"/>
          <w:highlight w:val="none"/>
        </w:rPr>
      </w:pPr>
    </w:p>
    <w:p>
      <w:pPr>
        <w:pStyle w:val="23"/>
        <w:spacing w:line="440" w:lineRule="exact"/>
        <w:ind w:firstLine="5500" w:firstLineChars="2750"/>
        <w:rPr>
          <w:rFonts w:hAnsi="宋体" w:cs="宋体"/>
          <w:color w:val="auto"/>
          <w:highlight w:val="none"/>
        </w:rPr>
      </w:pPr>
    </w:p>
    <w:p>
      <w:pPr>
        <w:spacing w:line="440" w:lineRule="exact"/>
        <w:rPr>
          <w:rFonts w:ascii="宋体" w:hAnsi="宋体" w:cs="宋体"/>
          <w:b/>
          <w:color w:val="auto"/>
          <w:highlight w:val="none"/>
        </w:rPr>
      </w:pPr>
      <w:r>
        <w:rPr>
          <w:rFonts w:hint="eastAsia" w:ascii="宋体" w:hAnsi="宋体" w:cs="宋体"/>
          <w:b/>
          <w:color w:val="auto"/>
          <w:highlight w:val="none"/>
        </w:rPr>
        <w:t>二、法定代表人授权委托书格式</w:t>
      </w:r>
    </w:p>
    <w:p>
      <w:pPr>
        <w:pStyle w:val="23"/>
        <w:spacing w:line="440" w:lineRule="exact"/>
        <w:jc w:val="center"/>
        <w:rPr>
          <w:rFonts w:hAnsi="宋体" w:cs="宋体"/>
          <w:b/>
          <w:color w:val="auto"/>
          <w:sz w:val="32"/>
          <w:highlight w:val="none"/>
        </w:rPr>
      </w:pPr>
    </w:p>
    <w:p>
      <w:pPr>
        <w:pStyle w:val="23"/>
        <w:spacing w:line="440" w:lineRule="exact"/>
        <w:jc w:val="center"/>
        <w:rPr>
          <w:rFonts w:hAnsi="宋体" w:cs="宋体"/>
          <w:b/>
          <w:color w:val="auto"/>
          <w:sz w:val="32"/>
          <w:highlight w:val="none"/>
        </w:rPr>
      </w:pPr>
      <w:r>
        <w:rPr>
          <w:rFonts w:hint="eastAsia" w:hAnsi="宋体" w:cs="宋体"/>
          <w:b/>
          <w:color w:val="auto"/>
          <w:sz w:val="32"/>
          <w:highlight w:val="none"/>
        </w:rPr>
        <w:t>法定代表人授权委托书</w:t>
      </w:r>
    </w:p>
    <w:p>
      <w:pPr>
        <w:snapToGrid w:val="0"/>
        <w:spacing w:line="44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pPr>
        <w:snapToGrid w:val="0"/>
        <w:spacing w:line="4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pPr>
        <w:snapToGrid w:val="0"/>
        <w:spacing w:line="440" w:lineRule="exact"/>
        <w:rPr>
          <w:rFonts w:ascii="宋体" w:hAnsi="宋体" w:cs="宋体"/>
          <w:color w:val="auto"/>
          <w:szCs w:val="21"/>
          <w:highlight w:val="none"/>
        </w:rPr>
      </w:pPr>
    </w:p>
    <w:p>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所在部门职务：            职务：</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p>
    <w:p>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line="440" w:lineRule="exact"/>
        <w:jc w:val="center"/>
        <w:rPr>
          <w:rFonts w:ascii="宋体"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125470" cy="1941830"/>
                <wp:effectExtent l="9525" t="12700" r="8255" b="762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3125470" cy="1941830"/>
                        </a:xfrm>
                        <a:prstGeom prst="rect">
                          <a:avLst/>
                        </a:prstGeom>
                        <a:solidFill>
                          <a:srgbClr val="FFFFFF"/>
                        </a:solidFill>
                        <a:ln w="9525">
                          <a:solidFill>
                            <a:srgbClr val="000000"/>
                          </a:solidFill>
                          <a:miter lim="800000"/>
                        </a:ln>
                      </wps:spPr>
                      <wps:txbx>
                        <w:txbxContent>
                          <w:p/>
                          <w:p/>
                          <w:p/>
                          <w:p/>
                          <w:p/>
                          <w:p>
                            <w:pPr>
                              <w:jc w:val="center"/>
                            </w:pPr>
                            <w:r>
                              <w:rPr>
                                <w:rFonts w:hint="eastAsia"/>
                              </w:rPr>
                              <w:t>委托代理人第二代居民身份证复印件</w:t>
                            </w:r>
                          </w:p>
                          <w:p>
                            <w:pPr>
                              <w:jc w:val="center"/>
                            </w:pPr>
                            <w:r>
                              <w:rPr>
                                <w:rFonts w:hint="eastAsia"/>
                                <w:b/>
                              </w:rPr>
                              <w:t>（正面）</w:t>
                            </w:r>
                          </w:p>
                          <w:p>
                            <w:pPr>
                              <w:jc w:val="center"/>
                            </w:pP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9pt;margin-top:1pt;height:152.9pt;width:246.1pt;z-index:251666432;mso-width-relative:page;mso-height-relative:page;" fillcolor="#FFFFFF" filled="t" stroked="t" coordsize="21600,21600" o:gfxdata="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GJ6A1gAAAAgBAAAPAAAAAAAAAAEAIAAAACIAAABkcnMvZG93&#10;bnJldi54bWxQSwECFAAUAAAACACHTuJARiUrnTsCAAB8BAAADgAAAAAAAAABACAAAAAlAQAAZHJz&#10;L2Uyb0RvYy54bWxQSwUGAAAAAAYABgBZAQAA0gUAAAAA&#10;">
                <v:fill on="t" focussize="0,0"/>
                <v:stroke color="#000000" miterlimit="8"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（正面）</w:t>
                      </w:r>
                    </w:p>
                    <w:p>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0pt;margin-top:0pt;height:0pt;width:483pt;mso-wrap-distance-bottom:0pt;mso-wrap-distance-top:14.2pt;z-index:25166438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ATg5+i1wEAAKEDAAAOAAAAAAAAAAEAIAAA&#10;AB8BAABkcnMvZTJvRG9jLnhtbFBLBQYAAAAABgAGAFkBAABoBQAAAAA=&#10;">
                <v:fill on="f" focussize="0,0"/>
                <v:stroke color="#000000" joinstyle="round"/>
                <v:imagedata o:title=""/>
                <o:lock v:ext="edit" aspectratio="f"/>
                <w10:wrap type="topAndBottom"/>
              </v:line>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ind w:firstLine="5200" w:firstLineChars="2600"/>
        <w:rPr>
          <w:rFonts w:hAnsi="宋体" w:cs="宋体"/>
          <w:color w:val="auto"/>
          <w:highlight w:val="none"/>
          <w:u w:val="singl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79375</wp:posOffset>
                </wp:positionH>
                <wp:positionV relativeFrom="paragraph">
                  <wp:posOffset>105410</wp:posOffset>
                </wp:positionV>
                <wp:extent cx="3220720" cy="1827530"/>
                <wp:effectExtent l="12700" t="10160" r="5080" b="10160"/>
                <wp:wrapSquare wrapText="bothSides"/>
                <wp:docPr id="4" name="矩形 10"/>
                <wp:cNvGraphicFramePr/>
                <a:graphic xmlns:a="http://schemas.openxmlformats.org/drawingml/2006/main">
                  <a:graphicData uri="http://schemas.microsoft.com/office/word/2010/wordprocessingShape">
                    <wps:wsp>
                      <wps:cNvSpPr>
                        <a:spLocks noChangeArrowheads="1"/>
                      </wps:cNvSpPr>
                      <wps:spPr bwMode="auto">
                        <a:xfrm>
                          <a:off x="0" y="0"/>
                          <a:ext cx="3220720" cy="1827530"/>
                        </a:xfrm>
                        <a:prstGeom prst="rect">
                          <a:avLst/>
                        </a:prstGeom>
                        <a:solidFill>
                          <a:srgbClr val="FFFFFF"/>
                        </a:solidFill>
                        <a:ln w="9525">
                          <a:solidFill>
                            <a:srgbClr val="000000"/>
                          </a:solidFill>
                          <a:miter lim="800000"/>
                        </a:ln>
                      </wps:spPr>
                      <wps:txbx>
                        <w:txbxContent>
                          <w:p/>
                          <w:p/>
                          <w:p/>
                          <w:p/>
                          <w:p/>
                          <w:p>
                            <w:pPr>
                              <w:jc w:val="center"/>
                            </w:pPr>
                            <w:r>
                              <w:rPr>
                                <w:rFonts w:hint="eastAsia"/>
                              </w:rPr>
                              <w:t>委托代理人第二代居民身份证复印件</w:t>
                            </w:r>
                          </w:p>
                          <w:p>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6.25pt;margin-top:8.3pt;height:143.9pt;width:253.6pt;mso-wrap-distance-bottom:0pt;mso-wrap-distance-left:9pt;mso-wrap-distance-right:9pt;mso-wrap-distance-top:0pt;z-index:251665408;mso-width-relative:page;mso-height-relative:page;" fillcolor="#FFFFFF" filled="t" stroked="t" coordsize="21600,21600" o:gfxdata="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T9mStgAAAAJAQAADwAAAAAAAAABACAAAAAiAAAAZHJzL2Rv&#10;d25yZXYueG1sUEsBAhQAFAAAAAgAh07iQKMj4FQ6AgAAfAQAAA4AAAAAAAAAAQAgAAAAJwEAAGRy&#10;cy9lMm9Eb2MueG1sUEsFBgAAAAAGAAYAWQEAANMFAAAAAA==&#10;">
                <v:fill on="t" focussize="0,0"/>
                <v:stroke color="#000000" miterlimit="8"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（背面）</w:t>
                      </w:r>
                    </w:p>
                  </w:txbxContent>
                </v:textbox>
                <w10:wrap type="square"/>
              </v:rect>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sz w:val="44"/>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三、商务响应表格式</w:t>
      </w:r>
    </w:p>
    <w:p>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商务响应表（格式）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响应文件的承诺或说明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bl>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四、技术响应表格式</w:t>
      </w:r>
    </w:p>
    <w:p>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技术响应表（格式）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364"/>
        <w:gridCol w:w="1681"/>
        <w:gridCol w:w="2120"/>
        <w:gridCol w:w="2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174" w:right="181"/>
              <w:jc w:val="center"/>
              <w:rPr>
                <w:color w:val="auto"/>
                <w:kern w:val="2"/>
                <w:sz w:val="21"/>
                <w:highlight w:val="none"/>
              </w:rPr>
            </w:pPr>
            <w:r>
              <w:rPr>
                <w:rFonts w:hint="eastAsia"/>
                <w:color w:val="auto"/>
                <w:kern w:val="2"/>
                <w:sz w:val="21"/>
                <w:highlight w:val="none"/>
              </w:rPr>
              <w:t>项号</w:t>
            </w:r>
          </w:p>
        </w:tc>
        <w:tc>
          <w:tcPr>
            <w:tcW w:w="1364"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254" w:right="0"/>
              <w:rPr>
                <w:color w:val="auto"/>
                <w:kern w:val="2"/>
                <w:sz w:val="21"/>
                <w:highlight w:val="none"/>
                <w:lang w:eastAsia="zh-CN"/>
              </w:rPr>
            </w:pPr>
            <w:r>
              <w:rPr>
                <w:rFonts w:hint="eastAsia"/>
                <w:color w:val="auto"/>
                <w:kern w:val="2"/>
                <w:sz w:val="21"/>
                <w:highlight w:val="none"/>
                <w:lang w:eastAsia="zh-CN"/>
              </w:rPr>
              <w:t>标的</w:t>
            </w:r>
            <w:r>
              <w:rPr>
                <w:rFonts w:hint="eastAsia"/>
                <w:color w:val="auto"/>
                <w:kern w:val="2"/>
                <w:sz w:val="21"/>
                <w:highlight w:val="none"/>
              </w:rPr>
              <w:t>名称</w:t>
            </w:r>
          </w:p>
        </w:tc>
        <w:tc>
          <w:tcPr>
            <w:tcW w:w="1681" w:type="dxa"/>
            <w:tcBorders>
              <w:top w:val="single" w:color="000000" w:sz="4" w:space="0"/>
              <w:left w:val="single" w:color="000000" w:sz="4" w:space="0"/>
              <w:bottom w:val="single" w:color="000000" w:sz="4" w:space="0"/>
              <w:right w:val="single" w:color="auto" w:sz="4" w:space="0"/>
            </w:tcBorders>
            <w:vAlign w:val="center"/>
          </w:tcPr>
          <w:p>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2120" w:type="dxa"/>
            <w:tcBorders>
              <w:top w:val="single" w:color="000000" w:sz="4" w:space="0"/>
              <w:left w:val="single" w:color="auto" w:sz="4" w:space="0"/>
              <w:bottom w:val="single" w:color="000000" w:sz="4" w:space="0"/>
              <w:right w:val="single" w:color="000000" w:sz="4" w:space="0"/>
            </w:tcBorders>
            <w:vAlign w:val="center"/>
          </w:tcPr>
          <w:p>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w:t>
            </w:r>
          </w:p>
        </w:tc>
        <w:tc>
          <w:tcPr>
            <w:tcW w:w="2978"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2" w:leftChars="-1" w:right="131"/>
              <w:jc w:val="center"/>
              <w:rPr>
                <w:color w:val="auto"/>
                <w:kern w:val="2"/>
                <w:sz w:val="21"/>
                <w:highlight w:val="none"/>
              </w:rPr>
            </w:pPr>
            <w:r>
              <w:rPr>
                <w:rFonts w:hint="eastAsia"/>
                <w:color w:val="auto"/>
                <w:kern w:val="2"/>
                <w:sz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1</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2</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77" w:line="440" w:lineRule="exact"/>
              <w:ind w:left="0" w:right="7"/>
              <w:jc w:val="center"/>
              <w:rPr>
                <w:color w:val="auto"/>
                <w:kern w:val="2"/>
                <w:sz w:val="21"/>
                <w:highlight w:val="none"/>
              </w:rPr>
            </w:pPr>
            <w:r>
              <w:rPr>
                <w:rFonts w:hint="eastAsia"/>
                <w:color w:val="auto"/>
                <w:kern w:val="2"/>
                <w:sz w:val="21"/>
                <w:highlight w:val="none"/>
              </w:rPr>
              <w:t>…</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N</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bl>
    <w:p>
      <w:pPr>
        <w:snapToGrid w:val="0"/>
        <w:spacing w:before="50" w:line="440" w:lineRule="exact"/>
        <w:jc w:val="left"/>
        <w:rPr>
          <w:rFonts w:ascii="宋体" w:hAnsi="宋体" w:cs="宋体"/>
          <w:color w:val="auto"/>
          <w:szCs w:val="21"/>
          <w:highlight w:val="none"/>
        </w:rPr>
      </w:pP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1.说明：应对照磋商文件“第三章”中“项目采购需求”的采购清单及技术参数条款逐条作出明确响应，并作出偏离说明。</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pPr>
        <w:spacing w:line="440" w:lineRule="exact"/>
        <w:ind w:firstLine="6090" w:firstLineChars="29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五、拟投入人员汇总表格式</w:t>
      </w:r>
    </w:p>
    <w:p>
      <w:pPr>
        <w:spacing w:line="440" w:lineRule="exact"/>
        <w:jc w:val="center"/>
        <w:rPr>
          <w:rFonts w:ascii="宋体" w:hAnsi="宋体" w:cs="宋体"/>
          <w:b/>
          <w:bCs/>
          <w:color w:val="auto"/>
          <w:kern w:val="0"/>
          <w:sz w:val="30"/>
          <w:highlight w:val="none"/>
        </w:rPr>
      </w:pPr>
    </w:p>
    <w:p>
      <w:pPr>
        <w:spacing w:line="440" w:lineRule="exact"/>
        <w:jc w:val="center"/>
        <w:rPr>
          <w:rFonts w:ascii="宋体" w:hAnsi="宋体" w:cs="宋体"/>
          <w:color w:val="auto"/>
          <w:szCs w:val="21"/>
          <w:highlight w:val="none"/>
        </w:rPr>
      </w:pPr>
      <w:r>
        <w:rPr>
          <w:rFonts w:hint="eastAsia" w:ascii="宋体" w:hAnsi="宋体" w:cs="宋体"/>
          <w:b/>
          <w:bCs/>
          <w:color w:val="auto"/>
          <w:kern w:val="0"/>
          <w:sz w:val="30"/>
          <w:highlight w:val="none"/>
        </w:rPr>
        <w:t>拟投入人员汇总表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5"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7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本项目担任角色</w:t>
            </w:r>
          </w:p>
        </w:tc>
        <w:tc>
          <w:tcPr>
            <w:tcW w:w="227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职称资格名称</w:t>
            </w:r>
          </w:p>
        </w:tc>
        <w:tc>
          <w:tcPr>
            <w:tcW w:w="2278" w:type="dxa"/>
          </w:tcPr>
          <w:p>
            <w:pPr>
              <w:spacing w:line="440" w:lineRule="exact"/>
              <w:jc w:val="center"/>
              <w:rPr>
                <w:rFonts w:ascii="宋体" w:hAnsi="宋体" w:cs="宋体"/>
                <w:color w:val="auto"/>
                <w:szCs w:val="21"/>
                <w:highlight w:val="none"/>
              </w:rPr>
            </w:pPr>
            <w:r>
              <w:rPr>
                <w:rFonts w:hint="eastAsia" w:ascii="宋体" w:hAnsi="宋体" w:cs="宋体"/>
                <w:bCs/>
                <w:color w:val="auto"/>
                <w:highlight w:val="none"/>
              </w:rPr>
              <w:t>专业</w:t>
            </w:r>
          </w:p>
        </w:tc>
        <w:tc>
          <w:tcPr>
            <w:tcW w:w="900"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pPr>
              <w:spacing w:line="4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bl>
    <w:p>
      <w:pPr>
        <w:spacing w:line="44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注：附拟投入人员职称资格证书的复印件并加盖单位公章。</w:t>
      </w: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50" w:line="440" w:lineRule="exact"/>
        <w:jc w:val="left"/>
        <w:rPr>
          <w:rFonts w:ascii="宋体" w:hAnsi="宋体" w:cs="宋体"/>
          <w:b/>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Cs w:val="21"/>
          <w:highlight w:val="none"/>
        </w:rPr>
        <w:t>六、服务承诺书</w:t>
      </w:r>
    </w:p>
    <w:p>
      <w:pPr>
        <w:pStyle w:val="23"/>
        <w:spacing w:line="440" w:lineRule="exact"/>
        <w:jc w:val="center"/>
        <w:rPr>
          <w:rFonts w:hAnsi="宋体" w:cs="宋体"/>
          <w:color w:val="auto"/>
          <w:sz w:val="32"/>
          <w:szCs w:val="32"/>
          <w:highlight w:val="none"/>
        </w:rPr>
      </w:pPr>
    </w:p>
    <w:p>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服务承诺书</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pPr>
        <w:pStyle w:val="23"/>
        <w:spacing w:line="440" w:lineRule="exact"/>
        <w:ind w:firstLine="420" w:firstLineChars="200"/>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r>
        <w:rPr>
          <w:rFonts w:hint="eastAsia" w:hAnsi="宋体" w:cs="宋体"/>
          <w:color w:val="auto"/>
          <w:sz w:val="21"/>
          <w:highlight w:val="none"/>
        </w:rPr>
        <w:t>备注：以上为服务承诺格式，第1条为供应商必须列明，其余条款供应商可根据实际情况一一列明。</w:t>
      </w: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sz w:val="21"/>
          <w:highlight w:val="none"/>
        </w:rPr>
      </w:pPr>
      <w:r>
        <w:rPr>
          <w:rFonts w:hint="eastAsia" w:hAnsi="宋体" w:cs="宋体"/>
          <w:b/>
          <w:color w:val="auto"/>
          <w:sz w:val="21"/>
          <w:highlight w:val="none"/>
        </w:rPr>
        <w:t>七、实施方案</w:t>
      </w:r>
    </w:p>
    <w:p>
      <w:pPr>
        <w:pStyle w:val="23"/>
        <w:spacing w:line="440" w:lineRule="exact"/>
        <w:jc w:val="center"/>
        <w:rPr>
          <w:rFonts w:hAnsi="宋体" w:cs="宋体"/>
          <w:color w:val="auto"/>
          <w:sz w:val="32"/>
          <w:szCs w:val="32"/>
          <w:highlight w:val="none"/>
        </w:rPr>
      </w:pPr>
    </w:p>
    <w:p>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实施方案</w:t>
      </w: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rPr>
          <w:rFonts w:ascii="宋体" w:hAnsi="宋体" w:cs="宋体"/>
          <w:color w:val="auto"/>
          <w:szCs w:val="21"/>
          <w:highlight w:val="none"/>
        </w:rPr>
      </w:pPr>
    </w:p>
    <w:p>
      <w:pPr>
        <w:snapToGrid w:val="0"/>
        <w:spacing w:before="50" w:line="440" w:lineRule="exact"/>
        <w:jc w:val="left"/>
        <w:rPr>
          <w:rFonts w:ascii="宋体" w:hAnsi="宋体" w:cs="宋体"/>
          <w:b/>
          <w:color w:val="auto"/>
          <w:szCs w:val="21"/>
          <w:highlight w:val="none"/>
        </w:rPr>
      </w:pPr>
    </w:p>
    <w:p>
      <w:pPr>
        <w:snapToGrid w:val="0"/>
        <w:spacing w:before="50" w:line="440" w:lineRule="exact"/>
        <w:jc w:val="lef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pPr>
        <w:snapToGrid w:val="0"/>
        <w:spacing w:before="50" w:line="440" w:lineRule="exact"/>
        <w:jc w:val="left"/>
        <w:rPr>
          <w:rFonts w:ascii="宋体" w:hAnsi="宋体" w:cs="宋体"/>
          <w:b/>
          <w:color w:val="auto"/>
          <w:szCs w:val="21"/>
          <w:highlight w:val="none"/>
        </w:rPr>
      </w:pPr>
      <w:r>
        <w:rPr>
          <w:rFonts w:hint="eastAsia" w:ascii="宋体" w:hAnsi="宋体" w:cs="宋体"/>
          <w:b/>
          <w:color w:val="auto"/>
          <w:szCs w:val="21"/>
          <w:highlight w:val="none"/>
        </w:rPr>
        <w:t>八、供应商同类项目业绩证明</w:t>
      </w:r>
    </w:p>
    <w:p>
      <w:pPr>
        <w:pStyle w:val="30"/>
        <w:snapToGrid w:val="0"/>
        <w:spacing w:line="440" w:lineRule="exact"/>
        <w:ind w:left="0"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供应商同类项目业绩一览表（供应商同类项目合同或中标/成交通知书复印件、用户验收报告、用户评价意见格式自拟）</w:t>
      </w:r>
    </w:p>
    <w:tbl>
      <w:tblPr>
        <w:tblStyle w:val="41"/>
        <w:tblW w:w="89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1087"/>
        <w:gridCol w:w="540"/>
        <w:gridCol w:w="533"/>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10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合同或中标/成交通知书</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53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02"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bl>
    <w:p>
      <w:pPr>
        <w:pStyle w:val="15"/>
        <w:snapToGrid w:val="0"/>
        <w:spacing w:line="440" w:lineRule="exact"/>
        <w:rPr>
          <w:rFonts w:ascii="宋体" w:hAnsi="宋体" w:eastAsia="宋体" w:cs="宋体"/>
          <w:color w:val="auto"/>
          <w:sz w:val="21"/>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napToGrid w:val="0"/>
        <w:spacing w:before="50" w:line="440" w:lineRule="exact"/>
        <w:jc w:val="left"/>
        <w:rPr>
          <w:rFonts w:ascii="宋体" w:hAnsi="宋体" w:cs="宋体"/>
          <w:b/>
          <w:color w:val="auto"/>
          <w:sz w:val="24"/>
          <w:highlight w:val="none"/>
        </w:rPr>
      </w:pPr>
      <w:r>
        <w:rPr>
          <w:rFonts w:hint="eastAsia" w:ascii="宋体" w:hAnsi="宋体" w:cs="宋体"/>
          <w:b/>
          <w:color w:val="auto"/>
          <w:sz w:val="24"/>
          <w:highlight w:val="none"/>
        </w:rPr>
        <w:t>十、 代理服务费承诺书格式</w:t>
      </w:r>
    </w:p>
    <w:p>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我单位参加了贵方组织的采购项目编号为（）的磋商，在此我方说明如下：</w:t>
      </w:r>
    </w:p>
    <w:p>
      <w:pPr>
        <w:numPr>
          <w:ilvl w:val="0"/>
          <w:numId w:val="2"/>
        </w:numPr>
        <w:snapToGrid w:val="0"/>
        <w:spacing w:before="120" w:beforeLines="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我方承诺，若我单位中标，保证在领取成交通知书之前，按本项目磋商文件的规定标准向贵单位一次性足额支付代理服务费。</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我单位选择第   种方式作为代理服务费开票类型：</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第一种方式：开具收据。</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第二种方式：开具增值税普通发票。开票信息如下：1.公司名称；2.纳税人识别号；</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第三种方式：开具增值税专用发票，开票信息如下：1.公司名称；2.纳税人识别号；3.税局登记地址；4.税局登记电话；5.开户银行；6.银行账户。</w:t>
      </w:r>
    </w:p>
    <w:p>
      <w:pPr>
        <w:snapToGrid w:val="0"/>
        <w:spacing w:before="50" w:after="120" w:afterLines="50" w:line="440" w:lineRule="exact"/>
        <w:jc w:val="left"/>
        <w:rPr>
          <w:rFonts w:ascii="宋体" w:hAnsi="宋体" w:cs="宋体"/>
          <w:b/>
          <w:color w:val="auto"/>
          <w:sz w:val="24"/>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3、报价文件格式：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pacing w:line="440" w:lineRule="exact"/>
        <w:rPr>
          <w:rFonts w:ascii="宋体" w:hAnsi="宋体" w:cs="宋体"/>
          <w:b/>
          <w:color w:val="auto"/>
          <w:szCs w:val="21"/>
          <w:highlight w:val="none"/>
        </w:rPr>
      </w:pPr>
    </w:p>
    <w:p>
      <w:pPr>
        <w:tabs>
          <w:tab w:val="left" w:pos="1418"/>
        </w:tabs>
        <w:snapToGrid w:val="0"/>
        <w:spacing w:before="50" w:after="50"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目录</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1、报价文件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竞标函</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1.2报价表和最后报价明细表………………………………</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1.3中小企业声明函（如是请提供）………………………………</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1.4监狱企业由省级以上监狱管理局、戒毒管理局（含新疆生产建设兵团）出具的属于监狱企业的证明文件（如是请提供）………………………………</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残疾人福利性单位声明函（如是请提供）</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供应商针对报价需要说明的其他文件和说明</w:t>
      </w:r>
      <w:r>
        <w:rPr>
          <w:rFonts w:hint="eastAsia" w:ascii="宋体" w:hAnsi="宋体" w:cs="宋体"/>
          <w:bCs/>
          <w:color w:val="auto"/>
          <w:szCs w:val="21"/>
          <w:highlight w:val="none"/>
        </w:rPr>
        <w:t>……………………………………</w:t>
      </w: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pPr>
        <w:snapToGrid w:val="0"/>
        <w:spacing w:before="120" w:beforeLines="50" w:after="50"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 标 函</w:t>
      </w:r>
    </w:p>
    <w:p>
      <w:pPr>
        <w:snapToGrid w:val="0"/>
        <w:spacing w:before="120" w:beforeLines="50" w:after="50" w:line="440" w:lineRule="exact"/>
        <w:jc w:val="center"/>
        <w:rPr>
          <w:rFonts w:ascii="宋体" w:hAnsi="宋体" w:cs="宋体"/>
          <w:b/>
          <w:color w:val="auto"/>
          <w:sz w:val="24"/>
          <w:szCs w:val="20"/>
          <w:highlight w:val="none"/>
        </w:rPr>
      </w:pP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致：（采购人名称）：</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根据贵方为项目的招标公告（项目编号：     ），签字代表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一、报价文件电子版一份；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二、资格文件电子版一份；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三、商务和技术文件电子版一份；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3.本投标有效期自开标日起     个日（自然日）。</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4.如中标，本响应文件至本项目合同履行完毕止均保持有效，我方将按“竞争性磋商文件”及政府采购法律、法规的规定履行合同责任和义务。</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5.我方同意按照贵方要求提供与投标有关的一切数据或资料。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地址：       邮编：       电话：</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传真：       供应商代表姓名、职务：</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供应商名称:</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开户银行：   银行帐号：</w:t>
      </w:r>
    </w:p>
    <w:p>
      <w:pPr>
        <w:snapToGrid w:val="0"/>
        <w:spacing w:line="440" w:lineRule="exact"/>
        <w:rPr>
          <w:rFonts w:ascii="宋体" w:hAnsi="宋体" w:cs="宋体"/>
          <w:color w:val="auto"/>
          <w:szCs w:val="21"/>
          <w:highlight w:val="none"/>
        </w:rPr>
      </w:pPr>
    </w:p>
    <w:p>
      <w:pPr>
        <w:snapToGrid w:val="0"/>
        <w:spacing w:line="440" w:lineRule="exact"/>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440" w:lineRule="exact"/>
        <w:jc w:val="center"/>
        <w:rPr>
          <w:rFonts w:ascii="宋体" w:hAnsi="宋体" w:cs="宋体"/>
          <w:b/>
          <w:color w:val="auto"/>
          <w:sz w:val="32"/>
          <w:szCs w:val="32"/>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2219"/>
        <w:gridCol w:w="1418"/>
        <w:gridCol w:w="2551"/>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zCs w:val="21"/>
                <w:highlight w:val="none"/>
              </w:rPr>
              <w:t>序号</w:t>
            </w: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竞标报价（元）</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14" w:type="dxa"/>
            <w:gridSpan w:val="5"/>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服务期限</w:t>
            </w:r>
            <w:r>
              <w:rPr>
                <w:rFonts w:hint="eastAsia" w:ascii="宋体" w:hAnsi="宋体" w:cs="宋体"/>
                <w:color w:val="auto"/>
                <w:szCs w:val="21"/>
                <w:highlight w:val="none"/>
              </w:rPr>
              <w:t xml:space="preserve">： </w:t>
            </w:r>
          </w:p>
        </w:tc>
      </w:tr>
    </w:tbl>
    <w:p>
      <w:pPr>
        <w:snapToGrid w:val="0"/>
        <w:spacing w:before="50" w:after="50" w:line="440" w:lineRule="exact"/>
        <w:rPr>
          <w:rFonts w:ascii="宋体" w:hAnsi="宋体" w:cs="宋体"/>
          <w:color w:val="auto"/>
          <w:highlight w:val="none"/>
          <w:u w:val="single"/>
        </w:rPr>
      </w:pP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1、所有价格均用人民币表示，单位为元，精确到个位。</w:t>
      </w: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2、报价一经涂改，应在涂改处加盖单位公章或者由法定代表人或授权委托人签字，否则其报价无效。</w:t>
      </w:r>
    </w:p>
    <w:p>
      <w:pPr>
        <w:snapToGrid w:val="0"/>
        <w:spacing w:before="50" w:after="50" w:line="440" w:lineRule="exact"/>
        <w:jc w:val="left"/>
        <w:rPr>
          <w:rFonts w:ascii="宋体" w:hAnsi="宋体" w:cs="宋体"/>
          <w:color w:val="auto"/>
          <w:szCs w:val="21"/>
          <w:highlight w:val="none"/>
        </w:rPr>
      </w:pPr>
    </w:p>
    <w:p>
      <w:pPr>
        <w:snapToGrid w:val="0"/>
        <w:spacing w:before="50" w:after="50" w:line="440" w:lineRule="exact"/>
        <w:ind w:firstLine="420" w:firstLineChars="200"/>
        <w:rPr>
          <w:rFonts w:ascii="宋体" w:hAnsi="宋体" w:cs="宋体"/>
          <w:color w:val="auto"/>
          <w:szCs w:val="21"/>
          <w:highlight w:val="none"/>
        </w:rPr>
      </w:pPr>
    </w:p>
    <w:p>
      <w:pPr>
        <w:snapToGrid w:val="0"/>
        <w:spacing w:before="50" w:after="50" w:line="440" w:lineRule="exact"/>
        <w:ind w:firstLine="420" w:firstLineChars="2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center"/>
        <w:rPr>
          <w:rFonts w:ascii="宋体" w:hAnsi="宋体" w:cs="宋体"/>
          <w:color w:val="auto"/>
          <w:sz w:val="44"/>
          <w:szCs w:val="20"/>
          <w:highlight w:val="none"/>
        </w:rPr>
      </w:pPr>
    </w:p>
    <w:p>
      <w:pPr>
        <w:rPr>
          <w:rFonts w:ascii="宋体" w:hAnsi="宋体" w:cs="宋体"/>
          <w:color w:val="auto"/>
          <w:sz w:val="44"/>
          <w:szCs w:val="20"/>
          <w:highlight w:val="none"/>
        </w:rPr>
      </w:pPr>
      <w:r>
        <w:rPr>
          <w:rFonts w:hint="eastAsia" w:ascii="宋体" w:hAnsi="宋体" w:cs="宋体"/>
          <w:color w:val="auto"/>
          <w:sz w:val="44"/>
          <w:szCs w:val="20"/>
          <w:highlight w:val="none"/>
        </w:rPr>
        <w:br w:type="page"/>
      </w:r>
    </w:p>
    <w:p>
      <w:pPr>
        <w:spacing w:line="440" w:lineRule="exact"/>
        <w:jc w:val="center"/>
        <w:rPr>
          <w:rFonts w:ascii="宋体" w:hAnsi="宋体" w:cs="宋体"/>
          <w:color w:val="auto"/>
          <w:sz w:val="44"/>
          <w:szCs w:val="20"/>
          <w:highlight w:val="none"/>
        </w:rPr>
      </w:pPr>
      <w:r>
        <w:rPr>
          <w:rFonts w:hint="eastAsia" w:ascii="宋体" w:hAnsi="宋体" w:cs="宋体"/>
          <w:color w:val="auto"/>
          <w:sz w:val="44"/>
          <w:szCs w:val="20"/>
          <w:highlight w:val="none"/>
        </w:rPr>
        <w:t>最后报价明细表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p>
      <w:pPr>
        <w:spacing w:line="440" w:lineRule="exact"/>
        <w:ind w:firstLine="8190" w:firstLineChars="3900"/>
        <w:rPr>
          <w:rFonts w:ascii="宋体" w:hAnsi="宋体" w:cs="宋体"/>
          <w:color w:val="auto"/>
          <w:szCs w:val="21"/>
          <w:highlight w:val="none"/>
        </w:rPr>
      </w:pPr>
      <w:r>
        <w:rPr>
          <w:rFonts w:hint="eastAsia" w:ascii="宋体" w:hAnsi="宋体" w:cs="宋体"/>
          <w:color w:val="auto"/>
          <w:szCs w:val="21"/>
          <w:highlight w:val="none"/>
        </w:rPr>
        <w:t>单位：元</w:t>
      </w:r>
    </w:p>
    <w:tbl>
      <w:tblPr>
        <w:tblStyle w:val="41"/>
        <w:tblW w:w="9696"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272"/>
        <w:gridCol w:w="1515"/>
        <w:gridCol w:w="1212"/>
        <w:gridCol w:w="1514"/>
        <w:gridCol w:w="1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exact"/>
        </w:trPr>
        <w:tc>
          <w:tcPr>
            <w:tcW w:w="1213" w:type="dxa"/>
          </w:tcPr>
          <w:p>
            <w:pPr>
              <w:pStyle w:val="207"/>
              <w:spacing w:before="110" w:line="440" w:lineRule="exact"/>
              <w:ind w:left="217" w:right="224"/>
              <w:jc w:val="center"/>
              <w:rPr>
                <w:b/>
                <w:color w:val="auto"/>
                <w:sz w:val="21"/>
                <w:highlight w:val="none"/>
              </w:rPr>
            </w:pPr>
            <w:r>
              <w:rPr>
                <w:rFonts w:hint="eastAsia"/>
                <w:b/>
                <w:color w:val="auto"/>
                <w:sz w:val="21"/>
                <w:highlight w:val="none"/>
              </w:rPr>
              <w:t>项号</w:t>
            </w:r>
          </w:p>
        </w:tc>
        <w:tc>
          <w:tcPr>
            <w:tcW w:w="2272" w:type="dxa"/>
          </w:tcPr>
          <w:p>
            <w:pPr>
              <w:pStyle w:val="207"/>
              <w:spacing w:before="110" w:line="440" w:lineRule="exact"/>
              <w:ind w:right="0"/>
              <w:jc w:val="center"/>
              <w:rPr>
                <w:b/>
                <w:color w:val="auto"/>
                <w:sz w:val="21"/>
                <w:highlight w:val="none"/>
              </w:rPr>
            </w:pPr>
            <w:r>
              <w:rPr>
                <w:rFonts w:hint="eastAsia"/>
                <w:b/>
                <w:color w:val="auto"/>
                <w:szCs w:val="21"/>
                <w:highlight w:val="none"/>
              </w:rPr>
              <w:t>服务名称</w:t>
            </w:r>
          </w:p>
        </w:tc>
        <w:tc>
          <w:tcPr>
            <w:tcW w:w="1515" w:type="dxa"/>
          </w:tcPr>
          <w:p>
            <w:pPr>
              <w:pStyle w:val="207"/>
              <w:spacing w:before="110" w:line="440" w:lineRule="exact"/>
              <w:ind w:left="196" w:right="0"/>
              <w:rPr>
                <w:b/>
                <w:color w:val="auto"/>
                <w:sz w:val="21"/>
                <w:highlight w:val="none"/>
              </w:rPr>
            </w:pPr>
            <w:r>
              <w:rPr>
                <w:rFonts w:hint="eastAsia"/>
                <w:b/>
                <w:color w:val="auto"/>
                <w:sz w:val="21"/>
                <w:highlight w:val="none"/>
              </w:rPr>
              <w:t>数量①</w:t>
            </w:r>
          </w:p>
        </w:tc>
        <w:tc>
          <w:tcPr>
            <w:tcW w:w="1212" w:type="dxa"/>
          </w:tcPr>
          <w:p>
            <w:pPr>
              <w:pStyle w:val="207"/>
              <w:spacing w:before="110" w:line="440" w:lineRule="exact"/>
              <w:ind w:left="215" w:right="0"/>
              <w:rPr>
                <w:b/>
                <w:color w:val="auto"/>
                <w:sz w:val="21"/>
                <w:highlight w:val="none"/>
              </w:rPr>
            </w:pPr>
            <w:r>
              <w:rPr>
                <w:rFonts w:hint="eastAsia"/>
                <w:b/>
                <w:color w:val="auto"/>
                <w:sz w:val="21"/>
                <w:highlight w:val="none"/>
              </w:rPr>
              <w:t>单位</w:t>
            </w:r>
          </w:p>
        </w:tc>
        <w:tc>
          <w:tcPr>
            <w:tcW w:w="1514" w:type="dxa"/>
          </w:tcPr>
          <w:p>
            <w:pPr>
              <w:pStyle w:val="207"/>
              <w:spacing w:before="110" w:line="440" w:lineRule="exact"/>
              <w:ind w:left="206" w:right="0"/>
              <w:rPr>
                <w:b/>
                <w:color w:val="auto"/>
                <w:sz w:val="21"/>
                <w:highlight w:val="none"/>
              </w:rPr>
            </w:pPr>
            <w:r>
              <w:rPr>
                <w:rFonts w:hint="eastAsia"/>
                <w:b/>
                <w:color w:val="auto"/>
                <w:sz w:val="21"/>
                <w:highlight w:val="none"/>
              </w:rPr>
              <w:t>单价②</w:t>
            </w:r>
          </w:p>
        </w:tc>
        <w:tc>
          <w:tcPr>
            <w:tcW w:w="1970" w:type="dxa"/>
          </w:tcPr>
          <w:p>
            <w:pPr>
              <w:pStyle w:val="207"/>
              <w:spacing w:line="440" w:lineRule="exact"/>
              <w:ind w:left="0" w:right="0"/>
              <w:jc w:val="center"/>
              <w:rPr>
                <w:b/>
                <w:color w:val="auto"/>
                <w:sz w:val="21"/>
                <w:highlight w:val="none"/>
              </w:rPr>
            </w:pPr>
            <w:r>
              <w:rPr>
                <w:rFonts w:hint="eastAsia"/>
                <w:b/>
                <w:color w:val="auto"/>
                <w:sz w:val="21"/>
                <w:highlight w:val="none"/>
                <w:lang w:eastAsia="zh-CN"/>
              </w:rPr>
              <w:t>竞标</w:t>
            </w:r>
            <w:r>
              <w:rPr>
                <w:rFonts w:hint="eastAsia"/>
                <w:b/>
                <w:color w:val="auto"/>
                <w:sz w:val="21"/>
                <w:highlight w:val="none"/>
              </w:rPr>
              <w:t>报价</w:t>
            </w:r>
          </w:p>
          <w:p>
            <w:pPr>
              <w:pStyle w:val="207"/>
              <w:spacing w:line="440" w:lineRule="exact"/>
              <w:ind w:left="0" w:right="0"/>
              <w:jc w:val="center"/>
              <w:rPr>
                <w:b/>
                <w:color w:val="auto"/>
                <w:sz w:val="21"/>
                <w:highlight w:val="none"/>
              </w:rPr>
            </w:pPr>
            <w:r>
              <w:rPr>
                <w:rFonts w:hint="eastAsia"/>
                <w:b/>
                <w:color w:val="auto"/>
                <w:sz w:val="21"/>
                <w:highlight w:val="none"/>
              </w:rPr>
              <w:t>③=①×②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1</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2</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N</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exact"/>
        </w:trPr>
        <w:tc>
          <w:tcPr>
            <w:tcW w:w="9696" w:type="dxa"/>
            <w:gridSpan w:val="6"/>
            <w:vAlign w:val="center"/>
          </w:tcPr>
          <w:p>
            <w:pPr>
              <w:pStyle w:val="207"/>
              <w:tabs>
                <w:tab w:val="left" w:pos="2931"/>
                <w:tab w:val="left" w:pos="4620"/>
                <w:tab w:val="left" w:pos="7020"/>
                <w:tab w:val="left" w:pos="7905"/>
                <w:tab w:val="left" w:pos="8140"/>
              </w:tabs>
              <w:spacing w:before="14" w:line="440" w:lineRule="exact"/>
              <w:ind w:left="105" w:right="142"/>
              <w:rPr>
                <w:color w:val="auto"/>
                <w:sz w:val="24"/>
                <w:highlight w:val="none"/>
                <w:lang w:eastAsia="zh-CN"/>
              </w:rPr>
            </w:pPr>
            <w:r>
              <w:rPr>
                <w:rFonts w:hint="eastAsia"/>
                <w:color w:val="auto"/>
                <w:sz w:val="21"/>
                <w:szCs w:val="21"/>
                <w:highlight w:val="none"/>
                <w:lang w:eastAsia="zh-CN"/>
              </w:rPr>
              <w:t>投标报价（合计金额）大写：人民币</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p>
        </w:tc>
      </w:tr>
    </w:tbl>
    <w:p>
      <w:pPr>
        <w:spacing w:line="440" w:lineRule="exact"/>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磋商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2、所有价格均用人民币表示，单位为元，精确到个位。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3、报价一经涂改，应在涂改处加盖单位公章或者由法定代表人或授权委托人签字，否则其报价无效。</w:t>
      </w:r>
    </w:p>
    <w:p>
      <w:pPr>
        <w:spacing w:line="440" w:lineRule="exact"/>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jc w:val="lef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三、中小企业声明函格式</w:t>
      </w:r>
    </w:p>
    <w:p>
      <w:pPr>
        <w:widowControl/>
        <w:spacing w:before="100" w:beforeAutospacing="1" w:after="100" w:afterAutospacing="1" w:line="440" w:lineRule="exact"/>
        <w:jc w:val="center"/>
        <w:textAlignment w:val="top"/>
        <w:rPr>
          <w:rFonts w:ascii="宋体" w:hAnsi="宋体" w:cs="宋体"/>
          <w:color w:val="auto"/>
          <w:kern w:val="0"/>
          <w:szCs w:val="21"/>
          <w:highlight w:val="none"/>
        </w:rPr>
      </w:pPr>
      <w:r>
        <w:rPr>
          <w:rFonts w:hint="eastAsia" w:ascii="宋体" w:hAnsi="宋体" w:cs="宋体"/>
          <w:b/>
          <w:bCs/>
          <w:color w:val="auto"/>
          <w:kern w:val="0"/>
          <w:sz w:val="30"/>
          <w:highlight w:val="none"/>
        </w:rPr>
        <w:t>中小企业声明函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pPr>
        <w:spacing w:line="440" w:lineRule="exact"/>
        <w:ind w:firstLine="420" w:firstLineChars="200"/>
        <w:rPr>
          <w:rFonts w:ascii="宋体" w:hAnsi="宋体" w:cs="宋体"/>
          <w:color w:val="auto"/>
          <w:szCs w:val="21"/>
          <w:highlight w:val="none"/>
        </w:rPr>
      </w:pP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采购活动，服务全部由符合政策要求的中小企业制造。相关企业（含联合体中的中小企业、签订分包意向协议的中小企业）的具体情况如下：</w:t>
      </w:r>
    </w:p>
    <w:p>
      <w:pPr>
        <w:tabs>
          <w:tab w:val="left" w:pos="1384"/>
          <w:tab w:val="left" w:pos="4562"/>
          <w:tab w:val="left" w:pos="6803"/>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tabs>
          <w:tab w:val="left" w:pos="1065"/>
          <w:tab w:val="left" w:pos="6477"/>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pPr>
        <w:spacing w:line="440" w:lineRule="exact"/>
        <w:ind w:firstLine="3150" w:firstLineChars="15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pPr>
        <w:widowControl/>
        <w:spacing w:before="100" w:beforeAutospacing="1" w:after="100" w:afterAutospacing="1" w:line="440" w:lineRule="exact"/>
        <w:jc w:val="left"/>
        <w:textAlignment w:val="top"/>
        <w:rPr>
          <w:rFonts w:ascii="宋体" w:hAnsi="宋体" w:cs="宋体"/>
          <w:color w:val="auto"/>
          <w:szCs w:val="21"/>
          <w:highlight w:val="none"/>
        </w:rPr>
      </w:pPr>
    </w:p>
    <w:p>
      <w:pPr>
        <w:widowControl/>
        <w:spacing w:before="100" w:beforeAutospacing="1" w:after="100" w:afterAutospacing="1" w:line="440" w:lineRule="exact"/>
        <w:jc w:val="left"/>
        <w:textAlignment w:val="top"/>
        <w:rPr>
          <w:rFonts w:ascii="宋体" w:hAnsi="宋体" w:cs="宋体"/>
          <w:b/>
          <w:color w:val="auto"/>
          <w:szCs w:val="21"/>
          <w:highlight w:val="none"/>
        </w:rPr>
      </w:pPr>
    </w:p>
    <w:p>
      <w:pPr>
        <w:widowControl/>
        <w:spacing w:before="100" w:beforeAutospacing="1" w:after="100" w:afterAutospacing="1" w:line="440" w:lineRule="exact"/>
        <w:jc w:val="left"/>
        <w:textAlignment w:val="top"/>
        <w:rPr>
          <w:rFonts w:ascii="宋体" w:hAnsi="宋体" w:cs="宋体"/>
          <w:b/>
          <w:bCs/>
          <w:color w:val="auto"/>
          <w:highlight w:val="none"/>
        </w:rPr>
      </w:pPr>
      <w:r>
        <w:rPr>
          <w:rFonts w:hint="eastAsia" w:ascii="宋体" w:hAnsi="宋体" w:cs="宋体"/>
          <w:b/>
          <w:color w:val="auto"/>
          <w:szCs w:val="21"/>
          <w:highlight w:val="none"/>
        </w:rPr>
        <w:t>四、残疾人福利性单位声明函格式</w:t>
      </w:r>
    </w:p>
    <w:p>
      <w:pPr>
        <w:widowControl/>
        <w:spacing w:before="100" w:beforeAutospacing="1" w:after="100" w:afterAutospacing="1" w:line="440" w:lineRule="exact"/>
        <w:jc w:val="center"/>
        <w:textAlignment w:val="top"/>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20" w:firstLineChars="200"/>
        <w:rPr>
          <w:rFonts w:ascii="宋体" w:hAnsi="宋体" w:cs="宋体"/>
          <w:color w:val="auto"/>
          <w:szCs w:val="21"/>
          <w:highlight w:val="none"/>
        </w:rPr>
      </w:pPr>
    </w:p>
    <w:p>
      <w:pPr>
        <w:widowControl/>
        <w:spacing w:before="100" w:beforeAutospacing="1" w:after="100" w:afterAutospacing="1" w:line="440" w:lineRule="exact"/>
        <w:ind w:firstLine="420"/>
        <w:jc w:val="left"/>
        <w:textAlignment w:val="top"/>
        <w:rPr>
          <w:rFonts w:ascii="宋体" w:hAnsi="宋体" w:cs="宋体"/>
          <w:color w:val="auto"/>
          <w:kern w:val="0"/>
          <w:szCs w:val="21"/>
          <w:highlight w:val="none"/>
        </w:rPr>
        <w:sectPr>
          <w:pgSz w:w="11906" w:h="16838"/>
          <w:pgMar w:top="1134" w:right="1247" w:bottom="1134" w:left="1247" w:header="851" w:footer="992" w:gutter="0"/>
          <w:cols w:space="720" w:num="1"/>
          <w:docGrid w:linePitch="312" w:charSpace="0"/>
        </w:sect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4"/>
        <w:spacing w:line="440" w:lineRule="exact"/>
        <w:jc w:val="center"/>
        <w:rPr>
          <w:rFonts w:ascii="宋体" w:hAnsi="宋体" w:cs="宋体"/>
          <w:color w:val="auto"/>
          <w:sz w:val="28"/>
          <w:szCs w:val="28"/>
          <w:highlight w:val="none"/>
        </w:rPr>
      </w:pPr>
      <w:bookmarkStart w:id="70" w:name="_Toc88747295"/>
      <w:r>
        <w:rPr>
          <w:rFonts w:hint="eastAsia" w:ascii="宋体" w:hAnsi="宋体" w:cs="宋体"/>
          <w:color w:val="auto"/>
          <w:sz w:val="28"/>
          <w:szCs w:val="28"/>
          <w:highlight w:val="none"/>
        </w:rPr>
        <w:t>第五章 合同主要条款</w:t>
      </w:r>
      <w:bookmarkEnd w:id="70"/>
    </w:p>
    <w:p>
      <w:pPr>
        <w:spacing w:line="440" w:lineRule="exact"/>
        <w:rPr>
          <w:rFonts w:ascii="宋体" w:hAnsi="宋体" w:cs="宋体"/>
          <w:color w:val="auto"/>
          <w:sz w:val="24"/>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广西壮族自治区政府采购合同</w:t>
      </w:r>
    </w:p>
    <w:p>
      <w:pPr>
        <w:rPr>
          <w:rFonts w:ascii="宋体" w:hAnsi="宋体" w:cs="宋体"/>
          <w:color w:val="auto"/>
          <w:szCs w:val="21"/>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ind w:left="2456" w:hanging="160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采购单位（甲方）：</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广西壮族自治区农业信息中心</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 应 商（乙方）：</w:t>
      </w:r>
      <w:r>
        <w:rPr>
          <w:rFonts w:hint="eastAsia" w:ascii="宋体" w:hAnsi="宋体" w:cs="宋体"/>
          <w:b/>
          <w:bCs/>
          <w:color w:val="auto"/>
          <w:sz w:val="32"/>
          <w:szCs w:val="32"/>
          <w:highlight w:val="none"/>
          <w:u w:val="single"/>
        </w:rPr>
        <w:t xml:space="preserve">                            </w:t>
      </w:r>
    </w:p>
    <w:p>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742" w:firstLineChars="265"/>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签订合同地点：</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rPr>
      </w:pP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签订合同时间：</w:t>
      </w:r>
      <w:r>
        <w:rPr>
          <w:rFonts w:hint="eastAsia" w:ascii="宋体" w:hAnsi="宋体" w:cs="宋体"/>
          <w:b/>
          <w:bCs/>
          <w:color w:val="auto"/>
          <w:sz w:val="32"/>
          <w:szCs w:val="32"/>
          <w:highlight w:val="none"/>
          <w:u w:val="single"/>
        </w:rPr>
        <w:t xml:space="preserve">                                </w:t>
      </w:r>
    </w:p>
    <w:p>
      <w:pPr>
        <w:jc w:val="center"/>
        <w:rPr>
          <w:rFonts w:ascii="宋体" w:hAnsi="宋体" w:cs="宋体"/>
          <w:color w:val="auto"/>
          <w:szCs w:val="21"/>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br w:type="page"/>
      </w:r>
    </w:p>
    <w:p>
      <w:pPr>
        <w:spacing w:line="300" w:lineRule="auto"/>
        <w:jc w:val="center"/>
        <w:rPr>
          <w:rFonts w:ascii="宋体" w:hAnsi="宋体" w:cs="宋体"/>
          <w:color w:val="auto"/>
          <w:highlight w:val="none"/>
        </w:rPr>
      </w:pPr>
      <w:r>
        <w:rPr>
          <w:rFonts w:hint="eastAsia" w:ascii="宋体" w:hAnsi="宋体" w:cs="宋体"/>
          <w:color w:val="auto"/>
          <w:highlight w:val="none"/>
        </w:rPr>
        <w:t xml:space="preserve"> </w:t>
      </w:r>
    </w:p>
    <w:p>
      <w:pPr>
        <w:snapToGrid w:val="0"/>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pPr>
        <w:snapToGrid w:val="0"/>
        <w:spacing w:line="360" w:lineRule="exact"/>
        <w:jc w:val="center"/>
        <w:rPr>
          <w:rFonts w:ascii="宋体" w:hAnsi="宋体" w:cs="宋体"/>
          <w:color w:val="auto"/>
          <w:szCs w:val="21"/>
          <w:highlight w:val="none"/>
        </w:rPr>
      </w:pPr>
      <w:r>
        <w:rPr>
          <w:rFonts w:hint="eastAsia" w:ascii="宋体" w:hAnsi="宋体" w:cs="宋体"/>
          <w:color w:val="auto"/>
          <w:highlight w:val="none"/>
        </w:rPr>
        <w:t xml:space="preserve"> </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采购计划号：</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 xml:space="preserve">   合同编号：</w:t>
      </w:r>
      <w:r>
        <w:rPr>
          <w:rFonts w:hint="eastAsia" w:ascii="宋体" w:hAnsi="宋体" w:cs="宋体"/>
          <w:color w:val="auto"/>
          <w:spacing w:val="5"/>
          <w:szCs w:val="21"/>
          <w:highlight w:val="none"/>
          <w:u w:val="single"/>
        </w:rPr>
        <w:t xml:space="preserve">                          </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采购人（甲方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10"/>
          <w:szCs w:val="21"/>
          <w:highlight w:val="none"/>
        </w:rPr>
        <w:t xml:space="preserve">   </w:t>
      </w:r>
      <w:r>
        <w:rPr>
          <w:rFonts w:hint="eastAsia" w:ascii="宋体" w:hAnsi="宋体" w:cs="宋体"/>
          <w:color w:val="auto"/>
          <w:spacing w:val="8"/>
          <w:szCs w:val="21"/>
          <w:highlight w:val="none"/>
        </w:rPr>
        <w:t>供应商（乙方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项目名称：</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项目编号：</w:t>
      </w:r>
      <w:r>
        <w:rPr>
          <w:rFonts w:hint="eastAsia" w:ascii="宋体" w:hAnsi="宋体" w:cs="宋体"/>
          <w:color w:val="auto"/>
          <w:spacing w:val="4"/>
          <w:szCs w:val="21"/>
          <w:highlight w:val="none"/>
          <w:u w:val="single"/>
        </w:rPr>
        <w:t xml:space="preserve">                            </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签订地点：</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签订时间：</w:t>
      </w:r>
      <w:r>
        <w:rPr>
          <w:rFonts w:hint="eastAsia" w:ascii="宋体" w:hAnsi="宋体" w:cs="宋体"/>
          <w:color w:val="auto"/>
          <w:spacing w:val="4"/>
          <w:szCs w:val="21"/>
          <w:highlight w:val="none"/>
          <w:u w:val="single"/>
        </w:rPr>
        <w:t xml:space="preserve">                            </w:t>
      </w:r>
    </w:p>
    <w:p>
      <w:pPr>
        <w:spacing w:line="360" w:lineRule="auto"/>
        <w:ind w:firstLine="420" w:firstLineChars="200"/>
        <w:rPr>
          <w:rFonts w:ascii="宋体" w:hAnsi="宋体" w:cs="宋体"/>
          <w:color w:val="auto"/>
          <w:szCs w:val="21"/>
          <w:highlight w:val="none"/>
        </w:rPr>
      </w:pPr>
    </w:p>
    <w:p>
      <w:pPr>
        <w:pStyle w:val="19"/>
        <w:spacing w:after="0" w:line="360" w:lineRule="auto"/>
        <w:ind w:firstLine="452" w:firstLineChars="200"/>
        <w:jc w:val="right"/>
        <w:rPr>
          <w:rFonts w:ascii="宋体" w:hAnsi="宋体" w:cs="宋体"/>
          <w:color w:val="auto"/>
          <w:szCs w:val="21"/>
          <w:highlight w:val="none"/>
        </w:rPr>
      </w:pPr>
      <w:r>
        <w:rPr>
          <w:rFonts w:hint="eastAsia" w:ascii="宋体" w:hAnsi="宋体" w:cs="宋体"/>
          <w:color w:val="auto"/>
          <w:spacing w:val="8"/>
          <w:szCs w:val="21"/>
          <w:highlight w:val="none"/>
        </w:rPr>
        <w:t>根据《中华人民共和国民法典》等法律、法规规定，按照采购文件规定条款和成交供应商响</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应文件及其承诺，</w:t>
      </w:r>
      <w:r>
        <w:rPr>
          <w:rFonts w:hint="eastAsia" w:ascii="宋体" w:hAnsi="宋体" w:cs="宋体"/>
          <w:color w:val="auto"/>
          <w:spacing w:val="-49"/>
          <w:szCs w:val="21"/>
          <w:highlight w:val="none"/>
        </w:rPr>
        <w:t xml:space="preserve"> </w:t>
      </w:r>
      <w:r>
        <w:rPr>
          <w:rFonts w:hint="eastAsia" w:ascii="宋体" w:hAnsi="宋体" w:cs="宋体"/>
          <w:color w:val="auto"/>
          <w:spacing w:val="6"/>
          <w:szCs w:val="21"/>
          <w:highlight w:val="none"/>
        </w:rPr>
        <w:t>甲乙双方签订本合同。</w:t>
      </w:r>
    </w:p>
    <w:p>
      <w:pPr>
        <w:pStyle w:val="19"/>
        <w:spacing w:after="0" w:line="360" w:lineRule="auto"/>
        <w:ind w:firstLine="446" w:firstLineChars="200"/>
        <w:outlineLvl w:val="1"/>
        <w:rPr>
          <w:rFonts w:ascii="宋体" w:hAnsi="宋体" w:cs="宋体"/>
          <w:b/>
          <w:bCs/>
          <w:color w:val="auto"/>
          <w:spacing w:val="6"/>
          <w:szCs w:val="21"/>
          <w:highlight w:val="none"/>
        </w:rPr>
      </w:pPr>
      <w:r>
        <w:rPr>
          <w:rFonts w:hint="eastAsia" w:ascii="宋体" w:hAnsi="宋体" w:cs="宋体"/>
          <w:b/>
          <w:bCs/>
          <w:color w:val="auto"/>
          <w:spacing w:val="6"/>
          <w:szCs w:val="21"/>
          <w:highlight w:val="none"/>
        </w:rPr>
        <w:t xml:space="preserve">第一条  </w:t>
      </w:r>
      <w:r>
        <w:rPr>
          <w:rFonts w:hint="eastAsia" w:ascii="宋体" w:hAnsi="宋体" w:cs="宋体"/>
          <w:color w:val="auto"/>
          <w:spacing w:val="6"/>
          <w:szCs w:val="21"/>
          <w:highlight w:val="none"/>
        </w:rPr>
        <w:t>合同标的</w:t>
      </w:r>
    </w:p>
    <w:p>
      <w:pPr>
        <w:pStyle w:val="19"/>
        <w:spacing w:after="0" w:line="360" w:lineRule="auto"/>
        <w:ind w:firstLine="432" w:firstLineChars="200"/>
        <w:rPr>
          <w:rFonts w:ascii="宋体" w:hAnsi="宋体" w:cs="宋体"/>
          <w:color w:val="auto"/>
          <w:szCs w:val="21"/>
          <w:highlight w:val="none"/>
        </w:rPr>
      </w:pPr>
      <w:r>
        <w:rPr>
          <w:rFonts w:hint="eastAsia" w:ascii="宋体" w:hAnsi="宋体" w:cs="宋体"/>
          <w:color w:val="auto"/>
          <w:spacing w:val="3"/>
          <w:szCs w:val="21"/>
          <w:highlight w:val="none"/>
        </w:rPr>
        <w:t>1、服务名称：</w:t>
      </w:r>
      <w:r>
        <w:rPr>
          <w:rFonts w:hint="eastAsia" w:ascii="宋体" w:hAnsi="宋体" w:cs="宋体"/>
          <w:color w:val="auto"/>
          <w:spacing w:val="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pacing w:val="3"/>
          <w:szCs w:val="21"/>
          <w:highlight w:val="none"/>
        </w:rPr>
        <w:t>。</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2、服务数量：</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3、服务内容：</w:t>
      </w:r>
    </w:p>
    <w:tbl>
      <w:tblPr>
        <w:tblStyle w:val="216"/>
        <w:tblW w:w="8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41"/>
        <w:gridCol w:w="708"/>
        <w:gridCol w:w="850"/>
        <w:gridCol w:w="1558"/>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2" w:type="dxa"/>
            <w:vAlign w:val="center"/>
          </w:tcPr>
          <w:p>
            <w:pPr>
              <w:pStyle w:val="215"/>
              <w:spacing w:line="360" w:lineRule="auto"/>
              <w:jc w:val="center"/>
              <w:rPr>
                <w:color w:val="auto"/>
                <w:sz w:val="21"/>
                <w:szCs w:val="21"/>
                <w:highlight w:val="none"/>
              </w:rPr>
            </w:pPr>
            <w:r>
              <w:rPr>
                <w:rFonts w:hint="eastAsia"/>
                <w:color w:val="auto"/>
                <w:spacing w:val="4"/>
                <w:sz w:val="21"/>
                <w:szCs w:val="21"/>
                <w:highlight w:val="none"/>
              </w:rPr>
              <w:t>序号</w:t>
            </w:r>
          </w:p>
        </w:tc>
        <w:tc>
          <w:tcPr>
            <w:tcW w:w="3341" w:type="dxa"/>
            <w:vAlign w:val="center"/>
          </w:tcPr>
          <w:p>
            <w:pPr>
              <w:pStyle w:val="215"/>
              <w:spacing w:line="360" w:lineRule="auto"/>
              <w:jc w:val="center"/>
              <w:rPr>
                <w:color w:val="auto"/>
                <w:sz w:val="21"/>
                <w:szCs w:val="21"/>
                <w:highlight w:val="none"/>
              </w:rPr>
            </w:pPr>
            <w:r>
              <w:rPr>
                <w:rFonts w:hint="eastAsia"/>
                <w:color w:val="auto"/>
                <w:spacing w:val="6"/>
                <w:sz w:val="21"/>
                <w:szCs w:val="21"/>
                <w:highlight w:val="none"/>
              </w:rPr>
              <w:t>服务内容</w:t>
            </w:r>
          </w:p>
        </w:tc>
        <w:tc>
          <w:tcPr>
            <w:tcW w:w="708" w:type="dxa"/>
            <w:vAlign w:val="center"/>
          </w:tcPr>
          <w:p>
            <w:pPr>
              <w:pStyle w:val="215"/>
              <w:spacing w:line="360" w:lineRule="auto"/>
              <w:jc w:val="center"/>
              <w:rPr>
                <w:color w:val="auto"/>
                <w:sz w:val="21"/>
                <w:szCs w:val="21"/>
                <w:highlight w:val="none"/>
              </w:rPr>
            </w:pPr>
            <w:r>
              <w:rPr>
                <w:rFonts w:hint="eastAsia"/>
                <w:color w:val="auto"/>
                <w:spacing w:val="3"/>
                <w:sz w:val="21"/>
                <w:szCs w:val="21"/>
                <w:highlight w:val="none"/>
              </w:rPr>
              <w:t>数量</w:t>
            </w:r>
          </w:p>
        </w:tc>
        <w:tc>
          <w:tcPr>
            <w:tcW w:w="850" w:type="dxa"/>
            <w:vAlign w:val="center"/>
          </w:tcPr>
          <w:p>
            <w:pPr>
              <w:pStyle w:val="215"/>
              <w:spacing w:line="360" w:lineRule="auto"/>
              <w:jc w:val="center"/>
              <w:rPr>
                <w:color w:val="auto"/>
                <w:sz w:val="21"/>
                <w:szCs w:val="21"/>
                <w:highlight w:val="none"/>
              </w:rPr>
            </w:pPr>
            <w:r>
              <w:rPr>
                <w:rFonts w:hint="eastAsia"/>
                <w:color w:val="auto"/>
                <w:spacing w:val="3"/>
                <w:sz w:val="21"/>
                <w:szCs w:val="21"/>
                <w:highlight w:val="none"/>
              </w:rPr>
              <w:t>单位</w:t>
            </w:r>
          </w:p>
        </w:tc>
        <w:tc>
          <w:tcPr>
            <w:tcW w:w="1558" w:type="dxa"/>
            <w:vAlign w:val="center"/>
          </w:tcPr>
          <w:p>
            <w:pPr>
              <w:pStyle w:val="215"/>
              <w:spacing w:line="360" w:lineRule="auto"/>
              <w:jc w:val="center"/>
              <w:rPr>
                <w:color w:val="auto"/>
                <w:sz w:val="21"/>
                <w:szCs w:val="21"/>
                <w:highlight w:val="none"/>
              </w:rPr>
            </w:pPr>
            <w:r>
              <w:rPr>
                <w:rFonts w:hint="eastAsia"/>
                <w:color w:val="auto"/>
                <w:spacing w:val="-2"/>
                <w:sz w:val="21"/>
                <w:szCs w:val="21"/>
                <w:highlight w:val="none"/>
              </w:rPr>
              <w:t>单价（元）</w:t>
            </w:r>
          </w:p>
        </w:tc>
        <w:tc>
          <w:tcPr>
            <w:tcW w:w="1590" w:type="dxa"/>
            <w:vAlign w:val="center"/>
          </w:tcPr>
          <w:p>
            <w:pPr>
              <w:pStyle w:val="215"/>
              <w:spacing w:line="360" w:lineRule="auto"/>
              <w:jc w:val="center"/>
              <w:rPr>
                <w:color w:val="auto"/>
                <w:sz w:val="21"/>
                <w:szCs w:val="21"/>
                <w:highlight w:val="none"/>
              </w:rPr>
            </w:pPr>
            <w:r>
              <w:rPr>
                <w:rFonts w:hint="eastAsia"/>
                <w:color w:val="auto"/>
                <w:spacing w:val="4"/>
                <w:sz w:val="21"/>
                <w:szCs w:val="21"/>
                <w:highlight w:val="none"/>
              </w:rPr>
              <w:t>合价（元）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2" w:type="dxa"/>
            <w:vAlign w:val="center"/>
          </w:tcPr>
          <w:p>
            <w:pPr>
              <w:pStyle w:val="215"/>
              <w:spacing w:line="360" w:lineRule="auto"/>
              <w:jc w:val="center"/>
              <w:rPr>
                <w:color w:val="auto"/>
                <w:sz w:val="21"/>
                <w:szCs w:val="21"/>
                <w:highlight w:val="none"/>
              </w:rPr>
            </w:pPr>
            <w:r>
              <w:rPr>
                <w:rFonts w:hint="eastAsia"/>
                <w:color w:val="auto"/>
                <w:sz w:val="21"/>
                <w:szCs w:val="21"/>
                <w:highlight w:val="none"/>
              </w:rPr>
              <w:t>1</w:t>
            </w:r>
          </w:p>
        </w:tc>
        <w:tc>
          <w:tcPr>
            <w:tcW w:w="3341" w:type="dxa"/>
            <w:vAlign w:val="center"/>
          </w:tcPr>
          <w:p>
            <w:pPr>
              <w:spacing w:line="360" w:lineRule="auto"/>
              <w:jc w:val="center"/>
              <w:rPr>
                <w:rFonts w:ascii="宋体" w:hAnsi="宋体" w:cs="宋体"/>
                <w:color w:val="auto"/>
                <w:szCs w:val="21"/>
                <w:highlight w:val="none"/>
              </w:rPr>
            </w:pPr>
          </w:p>
        </w:tc>
        <w:tc>
          <w:tcPr>
            <w:tcW w:w="708" w:type="dxa"/>
            <w:vAlign w:val="center"/>
          </w:tcPr>
          <w:p>
            <w:pPr>
              <w:spacing w:line="360" w:lineRule="auto"/>
              <w:jc w:val="center"/>
              <w:rPr>
                <w:rFonts w:ascii="宋体" w:hAnsi="宋体" w:cs="宋体"/>
                <w:color w:val="auto"/>
                <w:szCs w:val="21"/>
                <w:highlight w:val="none"/>
              </w:rPr>
            </w:pPr>
          </w:p>
        </w:tc>
        <w:tc>
          <w:tcPr>
            <w:tcW w:w="850" w:type="dxa"/>
            <w:vAlign w:val="center"/>
          </w:tcPr>
          <w:p>
            <w:pPr>
              <w:spacing w:line="360" w:lineRule="auto"/>
              <w:jc w:val="center"/>
              <w:rPr>
                <w:rFonts w:ascii="宋体" w:hAnsi="宋体" w:cs="宋体"/>
                <w:color w:val="auto"/>
                <w:szCs w:val="21"/>
                <w:highlight w:val="none"/>
              </w:rPr>
            </w:pPr>
          </w:p>
        </w:tc>
        <w:tc>
          <w:tcPr>
            <w:tcW w:w="1558" w:type="dxa"/>
            <w:vAlign w:val="center"/>
          </w:tcPr>
          <w:p>
            <w:pPr>
              <w:spacing w:line="360" w:lineRule="auto"/>
              <w:jc w:val="center"/>
              <w:rPr>
                <w:rFonts w:ascii="宋体" w:hAnsi="宋体" w:cs="宋体"/>
                <w:color w:val="auto"/>
                <w:szCs w:val="21"/>
                <w:highlight w:val="none"/>
              </w:rPr>
            </w:pPr>
          </w:p>
        </w:tc>
        <w:tc>
          <w:tcPr>
            <w:tcW w:w="1590" w:type="dxa"/>
            <w:vAlign w:val="center"/>
          </w:tcPr>
          <w:p>
            <w:pPr>
              <w:spacing w:line="360" w:lineRule="auto"/>
              <w:jc w:val="center"/>
              <w:rPr>
                <w:rFonts w:ascii="宋体" w:hAnsi="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769" w:type="dxa"/>
            <w:gridSpan w:val="6"/>
            <w:vAlign w:val="center"/>
          </w:tcPr>
          <w:p>
            <w:pPr>
              <w:pStyle w:val="215"/>
              <w:spacing w:line="360" w:lineRule="auto"/>
              <w:rPr>
                <w:color w:val="auto"/>
                <w:sz w:val="21"/>
                <w:szCs w:val="21"/>
                <w:highlight w:val="none"/>
                <w:lang w:eastAsia="zh-CN"/>
              </w:rPr>
            </w:pPr>
            <w:r>
              <w:rPr>
                <w:rFonts w:hint="eastAsia"/>
                <w:color w:val="auto"/>
                <w:spacing w:val="6"/>
                <w:sz w:val="21"/>
                <w:szCs w:val="21"/>
                <w:highlight w:val="none"/>
                <w:lang w:eastAsia="zh-CN"/>
              </w:rPr>
              <w:t>成交金额（人民币大写</w:t>
            </w:r>
            <w:r>
              <w:rPr>
                <w:rFonts w:hint="eastAsia"/>
                <w:color w:val="auto"/>
                <w:spacing w:val="8"/>
                <w:sz w:val="21"/>
                <w:szCs w:val="21"/>
                <w:highlight w:val="none"/>
                <w:lang w:eastAsia="zh-CN"/>
              </w:rPr>
              <w:t>）：</w:t>
            </w:r>
            <w:r>
              <w:rPr>
                <w:rFonts w:hint="eastAsia"/>
                <w:color w:val="auto"/>
                <w:sz w:val="21"/>
                <w:szCs w:val="21"/>
                <w:highlight w:val="none"/>
                <w:lang w:eastAsia="zh-CN"/>
              </w:rPr>
              <w:t xml:space="preserve">                    </w:t>
            </w:r>
            <w:r>
              <w:rPr>
                <w:rFonts w:hint="eastAsia"/>
                <w:color w:val="auto"/>
                <w:spacing w:val="6"/>
                <w:sz w:val="21"/>
                <w:szCs w:val="21"/>
                <w:highlight w:val="none"/>
                <w:lang w:eastAsia="zh-CN"/>
              </w:rPr>
              <w:t>(¥</w:t>
            </w:r>
            <w:r>
              <w:rPr>
                <w:rFonts w:hint="eastAsia"/>
                <w:color w:val="auto"/>
                <w:spacing w:val="9"/>
                <w:sz w:val="21"/>
                <w:szCs w:val="21"/>
                <w:highlight w:val="none"/>
                <w:lang w:eastAsia="zh-CN"/>
              </w:rPr>
              <w:t xml:space="preserve">           </w:t>
            </w:r>
            <w:r>
              <w:rPr>
                <w:rFonts w:hint="eastAsia"/>
                <w:color w:val="auto"/>
                <w:spacing w:val="6"/>
                <w:sz w:val="21"/>
                <w:szCs w:val="21"/>
                <w:highlight w:val="none"/>
                <w:lang w:eastAsia="zh-CN"/>
              </w:rPr>
              <w:t>)</w:t>
            </w:r>
          </w:p>
        </w:tc>
      </w:tr>
    </w:tbl>
    <w:p>
      <w:pPr>
        <w:pStyle w:val="19"/>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 xml:space="preserve">第二条  </w:t>
      </w:r>
      <w:r>
        <w:rPr>
          <w:rFonts w:hint="eastAsia" w:ascii="宋体" w:hAnsi="宋体" w:cs="宋体"/>
          <w:color w:val="auto"/>
          <w:spacing w:val="6"/>
          <w:szCs w:val="21"/>
          <w:highlight w:val="none"/>
        </w:rPr>
        <w:t>合同金额</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本项目合同金额人民币</w:t>
      </w:r>
      <w:r>
        <w:rPr>
          <w:rFonts w:hint="eastAsia" w:ascii="宋体" w:hAnsi="宋体" w:cs="宋体"/>
          <w:color w:val="auto"/>
          <w:spacing w:val="-98"/>
          <w:szCs w:val="21"/>
          <w:highlight w:val="none"/>
        </w:rPr>
        <w:t xml:space="preserve"> </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该合同金额已包括了实施和完成本项目全部服务所需的安装费（包括但不限于各类软件、系统等的安装、集成、试运行等费用）、培训费（包括但不限于场地费、教材等）、人工费、交通费、住宿费、伙食补助费、其他费用（包括但不限于硬件设备采购的费用、运输、装卸、软件部署、调试、培训、技术支持、售后服务、检测等费用）、整体验收各项费用、必要的保险费和税</w:t>
      </w:r>
      <w:r>
        <w:rPr>
          <w:rFonts w:hint="eastAsia" w:ascii="宋体" w:hAnsi="宋体" w:cs="宋体"/>
          <w:color w:val="auto"/>
          <w:spacing w:val="9"/>
          <w:szCs w:val="21"/>
          <w:highlight w:val="none"/>
        </w:rPr>
        <w:t>费等，服务有关一切费用和政策性文件规定及合同包含的风险、责任和各种应有的费用。</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第三条 </w:t>
      </w:r>
      <w:r>
        <w:rPr>
          <w:rFonts w:hint="eastAsia" w:ascii="宋体" w:hAnsi="宋体" w:cs="宋体"/>
          <w:color w:val="auto"/>
          <w:spacing w:val="7"/>
          <w:szCs w:val="21"/>
          <w:highlight w:val="none"/>
        </w:rPr>
        <w:t xml:space="preserve"> 服务期限及地点</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1、合同履行期限</w:t>
      </w:r>
      <w:r>
        <w:rPr>
          <w:rFonts w:hint="eastAsia" w:ascii="宋体" w:hAnsi="宋体" w:cs="宋体"/>
          <w:color w:val="auto"/>
          <w:spacing w:val="8"/>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8"/>
          <w:szCs w:val="21"/>
          <w:highlight w:val="none"/>
        </w:rPr>
        <w:t>；</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2、服务地点</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u w:val="single"/>
        </w:rPr>
        <w:t xml:space="preserve">                                 </w:t>
      </w:r>
      <w:r>
        <w:rPr>
          <w:rFonts w:hint="eastAsia" w:ascii="宋体" w:hAnsi="宋体" w:cs="宋体"/>
          <w:color w:val="auto"/>
          <w:spacing w:val="17"/>
          <w:szCs w:val="21"/>
          <w:highlight w:val="none"/>
        </w:rPr>
        <w:t xml:space="preserve"> </w:t>
      </w:r>
      <w:r>
        <w:rPr>
          <w:rFonts w:hint="eastAsia" w:ascii="宋体" w:hAnsi="宋体" w:cs="宋体"/>
          <w:color w:val="auto"/>
          <w:spacing w:val="6"/>
          <w:szCs w:val="21"/>
          <w:highlight w:val="none"/>
        </w:rPr>
        <w:t>；</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3、乙方所提供的服务必须与采购文件和承诺相一致且符合相应的服务规范及标准。</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第四条  </w:t>
      </w:r>
      <w:r>
        <w:rPr>
          <w:rFonts w:hint="eastAsia" w:ascii="宋体" w:hAnsi="宋体" w:cs="宋体"/>
          <w:color w:val="auto"/>
          <w:spacing w:val="7"/>
          <w:szCs w:val="21"/>
          <w:highlight w:val="none"/>
        </w:rPr>
        <w:t>售后服务、质保期</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1、乙方应按照国家有关法律法规和“三包</w:t>
      </w:r>
      <w:r>
        <w:rPr>
          <w:rFonts w:hint="eastAsia" w:ascii="宋体" w:hAnsi="宋体" w:cs="宋体"/>
          <w:color w:val="auto"/>
          <w:spacing w:val="-70"/>
          <w:szCs w:val="21"/>
          <w:highlight w:val="none"/>
        </w:rPr>
        <w:t xml:space="preserve"> </w:t>
      </w:r>
      <w:r>
        <w:rPr>
          <w:rFonts w:hint="eastAsia" w:ascii="宋体" w:hAnsi="宋体" w:cs="宋体"/>
          <w:color w:val="auto"/>
          <w:spacing w:val="10"/>
          <w:szCs w:val="21"/>
          <w:highlight w:val="none"/>
        </w:rPr>
        <w:t>”规定以及采</w:t>
      </w:r>
      <w:r>
        <w:rPr>
          <w:rFonts w:hint="eastAsia" w:ascii="宋体" w:hAnsi="宋体" w:cs="宋体"/>
          <w:color w:val="auto"/>
          <w:spacing w:val="9"/>
          <w:szCs w:val="21"/>
          <w:highlight w:val="none"/>
        </w:rPr>
        <w:t>购文件、响应文件和本合同所附的</w:t>
      </w:r>
      <w:r>
        <w:rPr>
          <w:rFonts w:hint="eastAsia" w:ascii="宋体" w:hAnsi="宋体" w:cs="宋体"/>
          <w:color w:val="auto"/>
          <w:szCs w:val="21"/>
          <w:highlight w:val="none"/>
        </w:rPr>
        <w:t xml:space="preserve"> </w:t>
      </w:r>
      <w:r>
        <w:rPr>
          <w:rFonts w:hint="eastAsia" w:ascii="宋体" w:hAnsi="宋体" w:cs="宋体"/>
          <w:color w:val="auto"/>
          <w:spacing w:val="8"/>
          <w:szCs w:val="21"/>
          <w:highlight w:val="none"/>
        </w:rPr>
        <w:t>《服务承诺》，为甲方提供售后服务。</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2、乙方提供的服务承诺、质保期及其他具体约定事项。（见合同附件）</w:t>
      </w:r>
    </w:p>
    <w:p>
      <w:pPr>
        <w:pStyle w:val="19"/>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 xml:space="preserve">第五条 </w:t>
      </w:r>
      <w:r>
        <w:rPr>
          <w:rFonts w:hint="eastAsia" w:ascii="宋体" w:hAnsi="宋体" w:cs="宋体"/>
          <w:color w:val="auto"/>
          <w:spacing w:val="6"/>
          <w:szCs w:val="21"/>
          <w:highlight w:val="none"/>
        </w:rPr>
        <w:t xml:space="preserve"> 付款方式</w:t>
      </w:r>
    </w:p>
    <w:p>
      <w:pPr>
        <w:pStyle w:val="19"/>
        <w:spacing w:after="0" w:line="360" w:lineRule="auto"/>
        <w:ind w:firstLine="416" w:firstLineChars="200"/>
        <w:rPr>
          <w:rFonts w:ascii="宋体" w:hAnsi="宋体" w:cs="宋体"/>
          <w:color w:val="auto"/>
          <w:szCs w:val="21"/>
          <w:highlight w:val="none"/>
        </w:rPr>
      </w:pPr>
      <w:r>
        <w:rPr>
          <w:rFonts w:hint="eastAsia" w:ascii="宋体" w:hAnsi="宋体" w:cs="宋体"/>
          <w:color w:val="auto"/>
          <w:spacing w:val="-1"/>
          <w:szCs w:val="21"/>
          <w:highlight w:val="none"/>
          <w:u w:val="single"/>
          <w:lang w:val="en-US" w:eastAsia="zh-CN"/>
        </w:rPr>
        <w:t xml:space="preserve">          </w:t>
      </w:r>
      <w:r>
        <w:rPr>
          <w:rFonts w:hint="eastAsia" w:ascii="宋体" w:hAnsi="宋体" w:cs="宋体"/>
          <w:color w:val="auto"/>
          <w:spacing w:val="-1"/>
          <w:szCs w:val="21"/>
          <w:highlight w:val="none"/>
        </w:rPr>
        <w:t>。</w:t>
      </w:r>
    </w:p>
    <w:p>
      <w:pPr>
        <w:pStyle w:val="19"/>
        <w:spacing w:after="0" w:line="360" w:lineRule="auto"/>
        <w:ind w:firstLine="446" w:firstLineChars="200"/>
        <w:rPr>
          <w:rFonts w:ascii="宋体" w:hAnsi="宋体" w:cs="宋体"/>
          <w:color w:val="auto"/>
          <w:szCs w:val="21"/>
          <w:highlight w:val="none"/>
        </w:rPr>
      </w:pPr>
      <w:r>
        <w:rPr>
          <w:rFonts w:hint="eastAsia" w:ascii="宋体" w:hAnsi="宋体" w:cs="宋体"/>
          <w:b/>
          <w:bCs/>
          <w:color w:val="auto"/>
          <w:spacing w:val="6"/>
          <w:szCs w:val="21"/>
          <w:highlight w:val="none"/>
        </w:rPr>
        <w:t>第六条</w:t>
      </w:r>
      <w:r>
        <w:rPr>
          <w:rFonts w:hint="eastAsia" w:ascii="宋体" w:hAnsi="宋体" w:cs="宋体"/>
          <w:color w:val="auto"/>
          <w:spacing w:val="6"/>
          <w:szCs w:val="21"/>
          <w:highlight w:val="none"/>
        </w:rPr>
        <w:t xml:space="preserve">  履约保证金：</w:t>
      </w:r>
      <w:r>
        <w:rPr>
          <w:rFonts w:hint="eastAsia" w:ascii="宋体" w:hAnsi="宋体" w:cs="宋体"/>
          <w:color w:val="auto"/>
          <w:spacing w:val="7"/>
          <w:szCs w:val="21"/>
          <w:highlight w:val="none"/>
          <w:u w:val="single"/>
        </w:rPr>
        <w:t xml:space="preserve">    </w:t>
      </w:r>
      <w:r>
        <w:rPr>
          <w:rFonts w:hint="eastAsia" w:ascii="宋体" w:hAnsi="宋体" w:cs="宋体"/>
          <w:color w:val="auto"/>
          <w:spacing w:val="6"/>
          <w:szCs w:val="21"/>
          <w:highlight w:val="none"/>
          <w:u w:val="single"/>
        </w:rPr>
        <w:t>/</w:t>
      </w:r>
      <w:r>
        <w:rPr>
          <w:rFonts w:hint="eastAsia" w:ascii="宋体" w:hAnsi="宋体" w:cs="宋体"/>
          <w:color w:val="auto"/>
          <w:szCs w:val="21"/>
          <w:highlight w:val="none"/>
          <w:u w:val="single"/>
        </w:rPr>
        <w:t xml:space="preserve">      </w:t>
      </w:r>
    </w:p>
    <w:p>
      <w:pPr>
        <w:pStyle w:val="19"/>
        <w:spacing w:after="0" w:line="360" w:lineRule="auto"/>
        <w:ind w:firstLine="450" w:firstLineChars="200"/>
        <w:rPr>
          <w:rFonts w:hint="eastAsia" w:ascii="宋体" w:hAnsi="宋体" w:cs="宋体"/>
          <w:color w:val="auto"/>
          <w:szCs w:val="21"/>
          <w:highlight w:val="none"/>
        </w:rPr>
      </w:pPr>
      <w:r>
        <w:rPr>
          <w:rFonts w:hint="eastAsia" w:ascii="宋体" w:hAnsi="宋体" w:cs="宋体"/>
          <w:b/>
          <w:bCs/>
          <w:color w:val="auto"/>
          <w:spacing w:val="7"/>
          <w:szCs w:val="21"/>
          <w:highlight w:val="none"/>
        </w:rPr>
        <w:t>第七条</w:t>
      </w:r>
      <w:r>
        <w:rPr>
          <w:rFonts w:hint="eastAsia" w:ascii="宋体" w:hAnsi="宋体" w:cs="宋体"/>
          <w:color w:val="auto"/>
          <w:spacing w:val="7"/>
          <w:szCs w:val="21"/>
          <w:highlight w:val="none"/>
        </w:rPr>
        <w:t xml:space="preserve">  税费本合同执行中相关的一切税费均由乙</w:t>
      </w:r>
      <w:r>
        <w:rPr>
          <w:rFonts w:hint="eastAsia" w:ascii="宋体" w:hAnsi="宋体" w:cs="宋体"/>
          <w:color w:val="auto"/>
          <w:spacing w:val="6"/>
          <w:szCs w:val="21"/>
          <w:highlight w:val="none"/>
        </w:rPr>
        <w:t>方负担。</w:t>
      </w:r>
      <w:r>
        <w:rPr>
          <w:rFonts w:hint="eastAsia" w:ascii="宋体" w:hAnsi="宋体" w:cs="宋体"/>
          <w:color w:val="auto"/>
          <w:szCs w:val="21"/>
          <w:highlight w:val="none"/>
        </w:rPr>
        <w:t xml:space="preserve"> </w:t>
      </w:r>
    </w:p>
    <w:p>
      <w:pPr>
        <w:pStyle w:val="19"/>
        <w:spacing w:after="0" w:line="360" w:lineRule="auto"/>
        <w:ind w:firstLine="450" w:firstLineChars="200"/>
        <w:rPr>
          <w:rFonts w:ascii="宋体" w:hAnsi="宋体" w:cs="宋体"/>
          <w:color w:val="auto"/>
          <w:szCs w:val="21"/>
          <w:highlight w:val="none"/>
        </w:rPr>
      </w:pPr>
      <w:r>
        <w:rPr>
          <w:rFonts w:hint="eastAsia" w:ascii="宋体" w:hAnsi="宋体" w:cs="宋体"/>
          <w:b/>
          <w:bCs/>
          <w:color w:val="auto"/>
          <w:spacing w:val="7"/>
          <w:szCs w:val="21"/>
          <w:highlight w:val="none"/>
        </w:rPr>
        <w:t>第八条</w:t>
      </w:r>
      <w:r>
        <w:rPr>
          <w:rFonts w:hint="eastAsia" w:ascii="宋体" w:hAnsi="宋体" w:cs="宋体"/>
          <w:color w:val="auto"/>
          <w:spacing w:val="9"/>
          <w:szCs w:val="21"/>
          <w:highlight w:val="none"/>
        </w:rPr>
        <w:t xml:space="preserve">  </w:t>
      </w:r>
      <w:r>
        <w:rPr>
          <w:rFonts w:hint="eastAsia" w:ascii="宋体" w:hAnsi="宋体" w:cs="宋体"/>
          <w:color w:val="auto"/>
          <w:spacing w:val="5"/>
          <w:szCs w:val="21"/>
          <w:highlight w:val="none"/>
        </w:rPr>
        <w:t>验收</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1.甲方对乙方提交的服务依据采购文件上的服务要求和国家有关质量标准进行现场初步验收，符合采购文件技术要求的，给予签收，初步验收不合格的不予签收。甲方应当在服务期满十</w:t>
      </w:r>
      <w:r>
        <w:rPr>
          <w:rFonts w:hint="eastAsia" w:ascii="宋体" w:hAnsi="宋体" w:cs="宋体"/>
          <w:color w:val="auto"/>
          <w:spacing w:val="7"/>
          <w:szCs w:val="21"/>
          <w:highlight w:val="none"/>
        </w:rPr>
        <w:t>五个工作日内进行验收。</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2.乙方提交服务成果前应对提交的服务成果作出全面检查和对验收文件</w:t>
      </w:r>
      <w:r>
        <w:rPr>
          <w:rFonts w:hint="eastAsia" w:ascii="宋体" w:hAnsi="宋体" w:cs="宋体"/>
          <w:color w:val="auto"/>
          <w:spacing w:val="9"/>
          <w:szCs w:val="21"/>
          <w:highlight w:val="none"/>
        </w:rPr>
        <w:t>进行整理，并列出清单，作为甲方验收和使用的技术条件依据，检验的结果应随服务成果交给甲方。</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3.对技术复杂的服务，甲方应请国家认可的专业检测机构参与初步验收及最终验收，并由</w:t>
      </w:r>
      <w:r>
        <w:rPr>
          <w:rFonts w:hint="eastAsia" w:ascii="宋体" w:hAnsi="宋体" w:cs="宋体"/>
          <w:color w:val="auto"/>
          <w:spacing w:val="7"/>
          <w:szCs w:val="21"/>
          <w:highlight w:val="none"/>
        </w:rPr>
        <w:t>其出具质量检测报告。</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4.验收时乙方必须在现场，验收完毕后做出验收结果报告；验收费用由乙方负责。</w:t>
      </w:r>
    </w:p>
    <w:p>
      <w:pPr>
        <w:pStyle w:val="19"/>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第九条</w:t>
      </w:r>
      <w:r>
        <w:rPr>
          <w:rFonts w:hint="eastAsia" w:ascii="宋体" w:hAnsi="宋体" w:cs="宋体"/>
          <w:color w:val="auto"/>
          <w:spacing w:val="6"/>
          <w:szCs w:val="21"/>
          <w:highlight w:val="none"/>
        </w:rPr>
        <w:t xml:space="preserve">  违约责任</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1.乙方所提供的服务、技术标准、材料等质量不</w:t>
      </w:r>
      <w:r>
        <w:rPr>
          <w:rFonts w:hint="eastAsia" w:ascii="宋体" w:hAnsi="宋体" w:cs="宋体"/>
          <w:color w:val="auto"/>
          <w:spacing w:val="9"/>
          <w:szCs w:val="21"/>
          <w:highlight w:val="none"/>
        </w:rPr>
        <w:t>合格的，应及时更换，更换不及时的按服</w:t>
      </w:r>
      <w:r>
        <w:rPr>
          <w:rFonts w:hint="eastAsia" w:ascii="宋体" w:hAnsi="宋体" w:cs="宋体"/>
          <w:color w:val="auto"/>
          <w:spacing w:val="8"/>
          <w:szCs w:val="21"/>
          <w:highlight w:val="none"/>
        </w:rPr>
        <w:t>务不及时处罚；因质量问题甲方不同意接收的或特殊情况甲方同意接收的，乙方应向甲方支付合同款总额5%违约金并赔偿甲方经济损失。</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2.乙方提供的服务如侵犯了第三方合法权益而引发的任何纠纷或诉讼，</w:t>
      </w:r>
      <w:r>
        <w:rPr>
          <w:rFonts w:hint="eastAsia" w:ascii="宋体" w:hAnsi="宋体" w:cs="宋体"/>
          <w:color w:val="auto"/>
          <w:spacing w:val="9"/>
          <w:szCs w:val="21"/>
          <w:highlight w:val="none"/>
        </w:rPr>
        <w:t>均由乙方负责交涉</w:t>
      </w:r>
      <w:r>
        <w:rPr>
          <w:rFonts w:hint="eastAsia" w:ascii="宋体" w:hAnsi="宋体" w:cs="宋体"/>
          <w:color w:val="auto"/>
          <w:spacing w:val="6"/>
          <w:szCs w:val="21"/>
          <w:highlight w:val="none"/>
        </w:rPr>
        <w:t>并承担全部责任。</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3.因包装、运输引起的相关维保备用品或零件损坏，按</w:t>
      </w:r>
      <w:r>
        <w:rPr>
          <w:rFonts w:hint="eastAsia" w:ascii="宋体" w:hAnsi="宋体" w:cs="宋体"/>
          <w:color w:val="auto"/>
          <w:spacing w:val="8"/>
          <w:szCs w:val="21"/>
          <w:highlight w:val="none"/>
        </w:rPr>
        <w:t>质量不合格处罚。</w:t>
      </w:r>
    </w:p>
    <w:p>
      <w:pPr>
        <w:pStyle w:val="19"/>
        <w:spacing w:after="0" w:line="360" w:lineRule="auto"/>
        <w:ind w:firstLine="464" w:firstLineChars="200"/>
        <w:rPr>
          <w:rFonts w:ascii="宋体" w:hAnsi="宋体" w:cs="宋体"/>
          <w:color w:val="auto"/>
          <w:szCs w:val="21"/>
          <w:highlight w:val="none"/>
        </w:rPr>
      </w:pPr>
      <w:r>
        <w:rPr>
          <w:rFonts w:hint="eastAsia" w:ascii="宋体" w:hAnsi="宋体" w:cs="宋体"/>
          <w:color w:val="auto"/>
          <w:spacing w:val="11"/>
          <w:szCs w:val="21"/>
          <w:highlight w:val="none"/>
        </w:rPr>
        <w:t>4.乙方不及时服务的，每天向甲方偿付当年合同款额</w:t>
      </w:r>
      <w:r>
        <w:rPr>
          <w:rFonts w:hint="eastAsia" w:ascii="宋体" w:hAnsi="宋体" w:cs="宋体"/>
          <w:color w:val="auto"/>
          <w:spacing w:val="10"/>
          <w:szCs w:val="21"/>
          <w:highlight w:val="none"/>
        </w:rPr>
        <w:t>3‰违约金，但违约金累计不得超过</w:t>
      </w:r>
      <w:r>
        <w:rPr>
          <w:rFonts w:hint="eastAsia" w:ascii="宋体" w:hAnsi="宋体" w:cs="宋体"/>
          <w:color w:val="auto"/>
          <w:spacing w:val="8"/>
          <w:szCs w:val="21"/>
          <w:highlight w:val="none"/>
        </w:rPr>
        <w:t>合同款总额5%，超过</w:t>
      </w:r>
      <w:r>
        <w:rPr>
          <w:rFonts w:hint="eastAsia" w:ascii="宋体" w:hAnsi="宋体" w:cs="宋体"/>
          <w:color w:val="auto"/>
          <w:spacing w:val="8"/>
          <w:szCs w:val="21"/>
          <w:highlight w:val="none"/>
          <w:u w:val="single"/>
        </w:rPr>
        <w:t>120</w:t>
      </w:r>
      <w:r>
        <w:rPr>
          <w:rFonts w:hint="eastAsia" w:ascii="宋体" w:hAnsi="宋体" w:cs="宋体"/>
          <w:color w:val="auto"/>
          <w:spacing w:val="8"/>
          <w:szCs w:val="21"/>
          <w:highlight w:val="none"/>
        </w:rPr>
        <w:t>天甲方有权解除合同，乙方承担因此给对方造成经济损失。</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5.乙方未按本合同和报价文件中规定的服务承诺提供售后服务的，乙</w:t>
      </w:r>
      <w:r>
        <w:rPr>
          <w:rFonts w:hint="eastAsia" w:ascii="宋体" w:hAnsi="宋体" w:cs="宋体"/>
          <w:color w:val="auto"/>
          <w:spacing w:val="9"/>
          <w:szCs w:val="21"/>
          <w:highlight w:val="none"/>
        </w:rPr>
        <w:t>方应按本合同合计金</w:t>
      </w:r>
      <w:r>
        <w:rPr>
          <w:rFonts w:hint="eastAsia" w:ascii="宋体" w:hAnsi="宋体" w:cs="宋体"/>
          <w:color w:val="auto"/>
          <w:spacing w:val="7"/>
          <w:szCs w:val="21"/>
          <w:highlight w:val="none"/>
        </w:rPr>
        <w:t>额5%向甲方支付违约金。</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6.乙方提供的相关维保备用品或零件在质量保证期内，因设计、工艺或材</w:t>
      </w:r>
      <w:r>
        <w:rPr>
          <w:rFonts w:hint="eastAsia" w:ascii="宋体" w:hAnsi="宋体" w:cs="宋体"/>
          <w:color w:val="auto"/>
          <w:spacing w:val="9"/>
          <w:szCs w:val="21"/>
          <w:highlight w:val="none"/>
        </w:rPr>
        <w:t>料的缺陷和其他</w:t>
      </w:r>
      <w:r>
        <w:rPr>
          <w:rFonts w:hint="eastAsia" w:ascii="宋体" w:hAnsi="宋体" w:cs="宋体"/>
          <w:color w:val="auto"/>
          <w:spacing w:val="8"/>
          <w:szCs w:val="21"/>
          <w:highlight w:val="none"/>
        </w:rPr>
        <w:t>质量原因造成的问题，由乙方负责。因此而给甲方造成的直接应由乙方承担。</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7.乙方的其他违约行为按合同总款额5%收取违约金并赔偿甲方的经济损失。</w:t>
      </w:r>
    </w:p>
    <w:p>
      <w:pPr>
        <w:pStyle w:val="19"/>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第十条</w:t>
      </w:r>
      <w:r>
        <w:rPr>
          <w:rFonts w:hint="eastAsia" w:ascii="宋体" w:hAnsi="宋体" w:cs="宋体"/>
          <w:color w:val="auto"/>
          <w:spacing w:val="7"/>
          <w:szCs w:val="21"/>
          <w:highlight w:val="none"/>
        </w:rPr>
        <w:t xml:space="preserve"> 不可抗力事件处理</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1.在合同有效期内，任何一方因不可抗力事件导致不能履行合同，则合同履行</w:t>
      </w:r>
      <w:r>
        <w:rPr>
          <w:rFonts w:hint="eastAsia" w:ascii="宋体" w:hAnsi="宋体" w:cs="宋体"/>
          <w:color w:val="auto"/>
          <w:spacing w:val="8"/>
          <w:szCs w:val="21"/>
          <w:highlight w:val="none"/>
        </w:rPr>
        <w:t>期可延长，其延长期与不可抗力影响期相同。</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2.不可抗力事件发生后，应于知道或应当知道不</w:t>
      </w:r>
      <w:r>
        <w:rPr>
          <w:rFonts w:hint="eastAsia" w:ascii="宋体" w:hAnsi="宋体" w:cs="宋体"/>
          <w:color w:val="auto"/>
          <w:spacing w:val="5"/>
          <w:szCs w:val="21"/>
          <w:highlight w:val="none"/>
        </w:rPr>
        <w:t>可抗力事件之时日内立即书面通知对方，</w:t>
      </w:r>
      <w:r>
        <w:rPr>
          <w:rFonts w:hint="eastAsia" w:ascii="宋体" w:hAnsi="宋体" w:cs="宋体"/>
          <w:color w:val="auto"/>
          <w:spacing w:val="8"/>
          <w:szCs w:val="21"/>
          <w:highlight w:val="none"/>
        </w:rPr>
        <w:t>并寄送有关权威机构出具的证明。</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3.不可抗力事件延续一百二十天以上，双方应通过友好协商，确定是否继续履行合</w:t>
      </w:r>
      <w:r>
        <w:rPr>
          <w:rFonts w:hint="eastAsia" w:ascii="宋体" w:hAnsi="宋体" w:cs="宋体"/>
          <w:color w:val="auto"/>
          <w:spacing w:val="8"/>
          <w:szCs w:val="21"/>
          <w:highlight w:val="none"/>
        </w:rPr>
        <w:t>同。</w:t>
      </w:r>
    </w:p>
    <w:p>
      <w:pPr>
        <w:pStyle w:val="19"/>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第十一条</w:t>
      </w:r>
      <w:r>
        <w:rPr>
          <w:rFonts w:hint="eastAsia" w:ascii="宋体" w:hAnsi="宋体" w:cs="宋体"/>
          <w:color w:val="auto"/>
          <w:spacing w:val="7"/>
          <w:szCs w:val="21"/>
          <w:highlight w:val="none"/>
        </w:rPr>
        <w:t xml:space="preserve">  合同争议解决</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1、因服务成果质量问题发生争议的，应邀请国家认可的质量检测机构对服务成果质量进行</w:t>
      </w:r>
      <w:r>
        <w:rPr>
          <w:rFonts w:hint="eastAsia" w:ascii="宋体" w:hAnsi="宋体" w:cs="宋体"/>
          <w:color w:val="auto"/>
          <w:spacing w:val="9"/>
          <w:szCs w:val="21"/>
          <w:highlight w:val="none"/>
        </w:rPr>
        <w:t>鉴定。服务成果符合标准的，鉴定费由甲方承担；服务成果不符合标准的，鉴定费由</w:t>
      </w:r>
      <w:r>
        <w:rPr>
          <w:rFonts w:hint="eastAsia" w:ascii="宋体" w:hAnsi="宋体" w:cs="宋体"/>
          <w:color w:val="auto"/>
          <w:spacing w:val="8"/>
          <w:szCs w:val="21"/>
          <w:highlight w:val="none"/>
        </w:rPr>
        <w:t>乙方承担。</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2、因履行本合同引起的或与本合同有关的争议，甲乙</w:t>
      </w:r>
      <w:r>
        <w:rPr>
          <w:rFonts w:hint="eastAsia" w:ascii="宋体" w:hAnsi="宋体" w:cs="宋体"/>
          <w:color w:val="auto"/>
          <w:spacing w:val="9"/>
          <w:szCs w:val="21"/>
          <w:highlight w:val="none"/>
        </w:rPr>
        <w:t>双方应首先通过友好协商解决，如果协商不能解决，向甲方所在地有管辖权的人民法院提起诉讼。</w:t>
      </w:r>
    </w:p>
    <w:p>
      <w:pPr>
        <w:pStyle w:val="19"/>
        <w:spacing w:after="0" w:line="360" w:lineRule="auto"/>
        <w:ind w:firstLine="452" w:firstLineChars="200"/>
        <w:outlineLvl w:val="2"/>
        <w:rPr>
          <w:rFonts w:ascii="宋体" w:hAnsi="宋体" w:cs="宋体"/>
          <w:color w:val="auto"/>
          <w:szCs w:val="21"/>
          <w:highlight w:val="none"/>
        </w:rPr>
      </w:pPr>
      <w:r>
        <w:rPr>
          <w:rFonts w:hint="eastAsia" w:ascii="宋体" w:hAnsi="宋体" w:cs="宋体"/>
          <w:color w:val="auto"/>
          <w:spacing w:val="8"/>
          <w:szCs w:val="21"/>
          <w:highlight w:val="none"/>
        </w:rPr>
        <w:t>3、诉讼期间，本合同无争议部分继续履行。</w:t>
      </w:r>
    </w:p>
    <w:p>
      <w:pPr>
        <w:pStyle w:val="19"/>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第十二条 诉讼</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双方在执行合同中所发生的一切争议，应通过协商解决。如果协商不能解决，可向甲方所在地有管辖权的人民法院提起诉讼。</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第十三条 </w:t>
      </w:r>
      <w:r>
        <w:rPr>
          <w:rFonts w:hint="eastAsia" w:ascii="宋体" w:hAnsi="宋体" w:cs="宋体"/>
          <w:color w:val="auto"/>
          <w:spacing w:val="7"/>
          <w:szCs w:val="21"/>
          <w:highlight w:val="none"/>
        </w:rPr>
        <w:t>合同生效及其他</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1．合同经双方法定代表人（负责人）或授权代表签字并加盖单位公章后生效。</w:t>
      </w:r>
    </w:p>
    <w:p>
      <w:pPr>
        <w:pStyle w:val="19"/>
        <w:spacing w:after="0" w:line="360" w:lineRule="auto"/>
        <w:ind w:firstLine="460" w:firstLineChars="200"/>
        <w:rPr>
          <w:rFonts w:ascii="宋体" w:hAnsi="宋体" w:cs="宋体"/>
          <w:color w:val="auto"/>
          <w:spacing w:val="7"/>
          <w:szCs w:val="21"/>
          <w:highlight w:val="none"/>
        </w:rPr>
      </w:pPr>
      <w:r>
        <w:rPr>
          <w:rFonts w:hint="eastAsia" w:ascii="宋体" w:hAnsi="宋体" w:cs="宋体"/>
          <w:color w:val="auto"/>
          <w:spacing w:val="10"/>
          <w:szCs w:val="21"/>
          <w:highlight w:val="none"/>
        </w:rPr>
        <w:t>2．合同执行中涉及采购资金和采购内容修改或补充的，须经财政部门审批，并签订</w:t>
      </w:r>
      <w:r>
        <w:rPr>
          <w:rFonts w:hint="eastAsia" w:ascii="宋体" w:hAnsi="宋体" w:cs="宋体"/>
          <w:color w:val="auto"/>
          <w:spacing w:val="8"/>
          <w:szCs w:val="21"/>
          <w:highlight w:val="none"/>
        </w:rPr>
        <w:t>书面补充协议报财政部门备案，方可作为主合同不可分割的</w:t>
      </w:r>
      <w:r>
        <w:rPr>
          <w:rFonts w:hint="eastAsia" w:ascii="宋体" w:hAnsi="宋体" w:cs="宋体"/>
          <w:color w:val="auto"/>
          <w:spacing w:val="7"/>
          <w:szCs w:val="21"/>
          <w:highlight w:val="none"/>
        </w:rPr>
        <w:t>一部分。</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3．本合同未尽事宜，遵照《中华人民共和国民法典</w:t>
      </w:r>
      <w:r>
        <w:rPr>
          <w:rFonts w:hint="eastAsia" w:ascii="宋体" w:hAnsi="宋体" w:cs="宋体"/>
          <w:color w:val="auto"/>
          <w:spacing w:val="6"/>
          <w:szCs w:val="21"/>
          <w:highlight w:val="none"/>
        </w:rPr>
        <w:t>》等有关法律法规有关条文执行。</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第十四条 </w:t>
      </w:r>
      <w:r>
        <w:rPr>
          <w:rFonts w:hint="eastAsia" w:ascii="宋体" w:hAnsi="宋体" w:cs="宋体"/>
          <w:color w:val="auto"/>
          <w:spacing w:val="7"/>
          <w:szCs w:val="21"/>
          <w:highlight w:val="none"/>
        </w:rPr>
        <w:t>合同的变更、终止与转让</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1、本合同一经签订，甲乙双方不得擅自变更、中止或终止。</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2、乙方不得擅自转让其应履行的合同义务。</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第十五条 </w:t>
      </w:r>
      <w:r>
        <w:rPr>
          <w:rFonts w:hint="eastAsia" w:ascii="宋体" w:hAnsi="宋体" w:cs="宋体"/>
          <w:color w:val="auto"/>
          <w:spacing w:val="7"/>
          <w:szCs w:val="21"/>
          <w:highlight w:val="none"/>
        </w:rPr>
        <w:t>签订本合同依据</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（1）采购项目需求表</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（2）响应函</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（3）二次竞标报价表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（4）技术要求偏离表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（5）商务条款偏离表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（6）售后服务承诺书</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（7）成交通知书</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6、上述合同文件互相补充和解释。如果合同文件之间存在矛盾</w:t>
      </w:r>
      <w:r>
        <w:rPr>
          <w:rFonts w:hint="eastAsia" w:ascii="宋体" w:hAnsi="宋体" w:cs="宋体"/>
          <w:color w:val="auto"/>
          <w:spacing w:val="9"/>
          <w:szCs w:val="21"/>
          <w:highlight w:val="none"/>
        </w:rPr>
        <w:t>或者不一致之处，以上述文</w:t>
      </w:r>
      <w:r>
        <w:rPr>
          <w:rFonts w:hint="eastAsia" w:ascii="宋体" w:hAnsi="宋体" w:cs="宋体"/>
          <w:color w:val="auto"/>
          <w:spacing w:val="8"/>
          <w:szCs w:val="21"/>
          <w:highlight w:val="none"/>
        </w:rPr>
        <w:t>件的排列顺序在先者为准。</w:t>
      </w:r>
    </w:p>
    <w:p>
      <w:pPr>
        <w:pStyle w:val="19"/>
        <w:spacing w:after="0" w:line="360" w:lineRule="auto"/>
        <w:ind w:firstLine="454" w:firstLineChars="200"/>
        <w:rPr>
          <w:rFonts w:ascii="宋体" w:hAnsi="宋体" w:cs="宋体"/>
          <w:color w:val="auto"/>
          <w:szCs w:val="21"/>
          <w:highlight w:val="none"/>
        </w:rPr>
      </w:pPr>
      <w:r>
        <w:rPr>
          <w:rFonts w:hint="eastAsia" w:ascii="宋体" w:hAnsi="宋体" w:cs="宋体"/>
          <w:b/>
          <w:bCs/>
          <w:color w:val="auto"/>
          <w:spacing w:val="8"/>
          <w:szCs w:val="21"/>
          <w:highlight w:val="none"/>
        </w:rPr>
        <w:t>第十六条</w:t>
      </w:r>
      <w:r>
        <w:rPr>
          <w:rFonts w:hint="eastAsia" w:ascii="宋体" w:hAnsi="宋体" w:cs="宋体"/>
          <w:color w:val="auto"/>
          <w:spacing w:val="8"/>
          <w:szCs w:val="21"/>
          <w:highlight w:val="none"/>
        </w:rPr>
        <w:t xml:space="preserve">  本合同一式陆份，具有同等法律效力，</w:t>
      </w:r>
      <w:r>
        <w:rPr>
          <w:rFonts w:hint="eastAsia" w:ascii="宋体" w:hAnsi="宋体" w:cs="宋体"/>
          <w:color w:val="auto"/>
          <w:spacing w:val="-56"/>
          <w:szCs w:val="21"/>
          <w:highlight w:val="none"/>
        </w:rPr>
        <w:t xml:space="preserve"> </w:t>
      </w:r>
      <w:r>
        <w:rPr>
          <w:rFonts w:hint="eastAsia" w:ascii="宋体" w:hAnsi="宋体" w:cs="宋体"/>
          <w:color w:val="auto"/>
          <w:spacing w:val="8"/>
          <w:szCs w:val="21"/>
          <w:highlight w:val="none"/>
        </w:rPr>
        <w:t>甲方叁份，乙方贰份，代理机构壹份。</w:t>
      </w:r>
    </w:p>
    <w:p>
      <w:pPr>
        <w:spacing w:before="105"/>
        <w:rPr>
          <w:rFonts w:ascii="宋体" w:hAnsi="宋体" w:cs="宋体"/>
          <w:color w:val="auto"/>
          <w:szCs w:val="21"/>
          <w:highlight w:val="none"/>
        </w:rPr>
      </w:pPr>
    </w:p>
    <w:tbl>
      <w:tblPr>
        <w:tblStyle w:val="216"/>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甲方</w:t>
            </w:r>
            <w:r>
              <w:rPr>
                <w:rFonts w:hint="eastAsia"/>
                <w:color w:val="auto"/>
                <w:spacing w:val="-6"/>
                <w:sz w:val="21"/>
                <w:szCs w:val="21"/>
                <w:highlight w:val="none"/>
              </w:rPr>
              <w:t>：（</w:t>
            </w:r>
            <w:r>
              <w:rPr>
                <w:rFonts w:hint="eastAsia"/>
                <w:color w:val="auto"/>
                <w:spacing w:val="6"/>
                <w:sz w:val="21"/>
                <w:szCs w:val="21"/>
                <w:highlight w:val="none"/>
              </w:rPr>
              <w:t>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20"/>
                <w:sz w:val="21"/>
                <w:szCs w:val="21"/>
                <w:highlight w:val="none"/>
              </w:rPr>
              <w:t xml:space="preserve">   </w:t>
            </w:r>
            <w:r>
              <w:rPr>
                <w:rFonts w:hint="eastAsia"/>
                <w:color w:val="auto"/>
                <w:spacing w:val="-2"/>
                <w:sz w:val="21"/>
                <w:szCs w:val="21"/>
                <w:highlight w:val="none"/>
              </w:rPr>
              <w:t>日</w:t>
            </w:r>
          </w:p>
        </w:tc>
        <w:tc>
          <w:tcPr>
            <w:tcW w:w="4585" w:type="dxa"/>
          </w:tcPr>
          <w:p>
            <w:pPr>
              <w:pStyle w:val="215"/>
              <w:spacing w:line="360" w:lineRule="auto"/>
              <w:rPr>
                <w:color w:val="auto"/>
                <w:sz w:val="21"/>
                <w:szCs w:val="21"/>
                <w:highlight w:val="none"/>
              </w:rPr>
            </w:pPr>
            <w:r>
              <w:rPr>
                <w:rFonts w:hint="eastAsia"/>
                <w:color w:val="auto"/>
                <w:spacing w:val="7"/>
                <w:sz w:val="21"/>
                <w:szCs w:val="21"/>
                <w:highlight w:val="none"/>
              </w:rPr>
              <w:t>乙方</w:t>
            </w:r>
            <w:r>
              <w:rPr>
                <w:rFonts w:hint="eastAsia"/>
                <w:color w:val="auto"/>
                <w:spacing w:val="-5"/>
                <w:sz w:val="21"/>
                <w:szCs w:val="21"/>
                <w:highlight w:val="none"/>
              </w:rPr>
              <w:t>：（</w:t>
            </w:r>
            <w:r>
              <w:rPr>
                <w:rFonts w:hint="eastAsia"/>
                <w:color w:val="auto"/>
                <w:spacing w:val="7"/>
                <w:sz w:val="21"/>
                <w:szCs w:val="21"/>
                <w:highlight w:val="none"/>
              </w:rPr>
              <w:t>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19"/>
                <w:sz w:val="21"/>
                <w:szCs w:val="21"/>
                <w:highlight w:val="none"/>
              </w:rPr>
              <w:t xml:space="preserve">   </w:t>
            </w:r>
            <w:r>
              <w:rPr>
                <w:rFonts w:hint="eastAsia"/>
                <w:color w:val="auto"/>
                <w:spacing w:val="-2"/>
                <w:sz w:val="21"/>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单位地址：</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单位地址：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法定代表人：</w:t>
            </w:r>
          </w:p>
        </w:tc>
        <w:tc>
          <w:tcPr>
            <w:tcW w:w="4585" w:type="dxa"/>
          </w:tcPr>
          <w:p>
            <w:pPr>
              <w:pStyle w:val="215"/>
              <w:spacing w:line="360" w:lineRule="auto"/>
              <w:rPr>
                <w:color w:val="auto"/>
                <w:sz w:val="21"/>
                <w:szCs w:val="21"/>
                <w:highlight w:val="none"/>
              </w:rPr>
            </w:pPr>
            <w:r>
              <w:rPr>
                <w:rFonts w:hint="eastAsia"/>
                <w:color w:val="auto"/>
                <w:spacing w:val="6"/>
                <w:sz w:val="21"/>
                <w:szCs w:val="21"/>
                <w:highlight w:val="none"/>
              </w:rPr>
              <w:t>法定代表人：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委托代理人：</w:t>
            </w:r>
          </w:p>
        </w:tc>
        <w:tc>
          <w:tcPr>
            <w:tcW w:w="4585" w:type="dxa"/>
          </w:tcPr>
          <w:p>
            <w:pPr>
              <w:pStyle w:val="215"/>
              <w:spacing w:line="360" w:lineRule="auto"/>
              <w:rPr>
                <w:color w:val="auto"/>
                <w:sz w:val="21"/>
                <w:szCs w:val="21"/>
                <w:highlight w:val="none"/>
              </w:rPr>
            </w:pPr>
            <w:r>
              <w:rPr>
                <w:rFonts w:hint="eastAsia"/>
                <w:color w:val="auto"/>
                <w:spacing w:val="6"/>
                <w:sz w:val="21"/>
                <w:szCs w:val="21"/>
                <w:highlight w:val="none"/>
              </w:rPr>
              <w:t>委托代理人：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电话：</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开户银行：</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开户银行：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pPr>
              <w:pStyle w:val="215"/>
              <w:spacing w:line="360" w:lineRule="auto"/>
              <w:rPr>
                <w:color w:val="auto"/>
                <w:sz w:val="21"/>
                <w:szCs w:val="21"/>
                <w:highlight w:val="none"/>
              </w:rPr>
            </w:pPr>
            <w:r>
              <w:rPr>
                <w:rFonts w:hint="eastAsia"/>
                <w:color w:val="auto"/>
                <w:spacing w:val="2"/>
                <w:sz w:val="21"/>
                <w:szCs w:val="21"/>
                <w:highlight w:val="none"/>
              </w:rPr>
              <w:t>账号：</w:t>
            </w:r>
          </w:p>
        </w:tc>
        <w:tc>
          <w:tcPr>
            <w:tcW w:w="4585" w:type="dxa"/>
          </w:tcPr>
          <w:p>
            <w:pPr>
              <w:pStyle w:val="215"/>
              <w:spacing w:line="360" w:lineRule="auto"/>
              <w:rPr>
                <w:color w:val="auto"/>
                <w:sz w:val="21"/>
                <w:szCs w:val="21"/>
                <w:highlight w:val="none"/>
              </w:rPr>
            </w:pPr>
            <w:r>
              <w:rPr>
                <w:rFonts w:hint="eastAsia"/>
                <w:color w:val="auto"/>
                <w:spacing w:val="2"/>
                <w:sz w:val="21"/>
                <w:szCs w:val="21"/>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584" w:type="dxa"/>
          </w:tcPr>
          <w:p>
            <w:pPr>
              <w:pStyle w:val="215"/>
              <w:spacing w:line="360" w:lineRule="auto"/>
              <w:rPr>
                <w:color w:val="auto"/>
                <w:sz w:val="21"/>
                <w:szCs w:val="21"/>
                <w:highlight w:val="none"/>
              </w:rPr>
            </w:pPr>
            <w:r>
              <w:rPr>
                <w:rFonts w:hint="eastAsia"/>
                <w:color w:val="auto"/>
                <w:spacing w:val="2"/>
                <w:sz w:val="21"/>
                <w:szCs w:val="21"/>
                <w:highlight w:val="none"/>
              </w:rPr>
              <w:t>邮政编码：</w:t>
            </w:r>
          </w:p>
        </w:tc>
        <w:tc>
          <w:tcPr>
            <w:tcW w:w="4585" w:type="dxa"/>
          </w:tcPr>
          <w:p>
            <w:pPr>
              <w:pStyle w:val="215"/>
              <w:spacing w:line="360" w:lineRule="auto"/>
              <w:rPr>
                <w:color w:val="auto"/>
                <w:sz w:val="21"/>
                <w:szCs w:val="21"/>
                <w:highlight w:val="none"/>
              </w:rPr>
            </w:pPr>
            <w:r>
              <w:rPr>
                <w:rFonts w:hint="eastAsia"/>
                <w:color w:val="auto"/>
                <w:spacing w:val="2"/>
                <w:sz w:val="21"/>
                <w:szCs w:val="21"/>
                <w:highlight w:val="none"/>
              </w:rPr>
              <w:t>邮政编码：</w:t>
            </w:r>
          </w:p>
        </w:tc>
      </w:tr>
    </w:tbl>
    <w:p>
      <w:pPr>
        <w:rPr>
          <w:rFonts w:ascii="宋体" w:hAnsi="宋体" w:cs="宋体"/>
          <w:color w:val="auto"/>
          <w:szCs w:val="21"/>
          <w:highlight w:val="none"/>
        </w:rPr>
      </w:pPr>
    </w:p>
    <w:p>
      <w:pPr>
        <w:rPr>
          <w:rFonts w:ascii="宋体" w:hAnsi="宋体" w:cs="宋体"/>
          <w:color w:val="auto"/>
          <w:szCs w:val="21"/>
          <w:highlight w:val="none"/>
        </w:rPr>
      </w:pPr>
    </w:p>
    <w:p>
      <w:pPr>
        <w:spacing w:line="440" w:lineRule="exact"/>
        <w:rPr>
          <w:rFonts w:ascii="宋体" w:hAnsi="宋体" w:cs="宋体"/>
          <w:color w:val="auto"/>
          <w:szCs w:val="21"/>
          <w:highlight w:val="none"/>
        </w:rPr>
      </w:pPr>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bookmarkStart w:id="71" w:name="_Toc88747296"/>
      <w:r>
        <w:rPr>
          <w:rFonts w:hint="eastAsia" w:ascii="宋体" w:hAnsi="宋体" w:cs="宋体"/>
          <w:color w:val="auto"/>
          <w:sz w:val="32"/>
          <w:szCs w:val="32"/>
          <w:highlight w:val="none"/>
        </w:rPr>
        <w:t>第六章 评审方法和评审标准</w:t>
      </w:r>
      <w:bookmarkEnd w:id="71"/>
    </w:p>
    <w:p>
      <w:pPr>
        <w:pStyle w:val="5"/>
        <w:spacing w:before="0" w:after="0" w:line="440" w:lineRule="exact"/>
        <w:jc w:val="center"/>
        <w:rPr>
          <w:rFonts w:ascii="宋体" w:hAnsi="宋体" w:eastAsia="宋体" w:cs="宋体"/>
          <w:color w:val="auto"/>
          <w:kern w:val="0"/>
          <w:sz w:val="28"/>
          <w:szCs w:val="28"/>
          <w:highlight w:val="none"/>
        </w:rPr>
      </w:pPr>
      <w:bookmarkStart w:id="72" w:name="OLE_LINK75"/>
      <w:r>
        <w:rPr>
          <w:rFonts w:hint="eastAsia" w:ascii="宋体" w:hAnsi="宋体" w:eastAsia="宋体" w:cs="宋体"/>
          <w:color w:val="auto"/>
          <w:kern w:val="0"/>
          <w:sz w:val="28"/>
          <w:szCs w:val="28"/>
          <w:highlight w:val="none"/>
        </w:rPr>
        <w:t>标项一（广西农药数字监管平台运维服务）适用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84</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(2)运维服务方案分（满分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lang w:eastAsia="zh-CN"/>
        </w:rPr>
      </w:pPr>
      <w:r>
        <w:rPr>
          <w:rFonts w:hint="eastAsia" w:hAnsi="宋体" w:cs="宋体"/>
          <w:b w:val="0"/>
          <w:bCs w:val="0"/>
          <w:color w:val="auto"/>
          <w:sz w:val="21"/>
          <w:highlight w:val="none"/>
        </w:rPr>
        <w:t>由评标小组成员根据供应商提供的运维服务方案确定各供应商所属档次并打分</w:t>
      </w:r>
      <w:r>
        <w:rPr>
          <w:rFonts w:hint="eastAsia" w:cs="宋体"/>
          <w:b w:val="0"/>
          <w:bCs w:val="0"/>
          <w:color w:val="auto"/>
          <w:sz w:val="21"/>
          <w:highlight w:val="none"/>
          <w:lang w:eastAsia="zh-CN"/>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一档（0分）：未提供运维服务方案或提供的方案与本项目不相符；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w:t>
      </w:r>
      <w:r>
        <w:rPr>
          <w:rFonts w:hint="eastAsia" w:hAnsi="宋体" w:cs="宋体"/>
          <w:b w:val="0"/>
          <w:bCs w:val="0"/>
          <w:color w:val="auto"/>
          <w:sz w:val="21"/>
          <w:highlight w:val="none"/>
          <w:lang w:eastAsia="zh-CN"/>
        </w:rPr>
        <w:t>5</w:t>
      </w:r>
      <w:r>
        <w:rPr>
          <w:rFonts w:hint="eastAsia" w:hAnsi="宋体" w:cs="宋体"/>
          <w:b w:val="0"/>
          <w:bCs w:val="0"/>
          <w:color w:val="auto"/>
          <w:sz w:val="21"/>
          <w:highlight w:val="none"/>
        </w:rPr>
        <w:t>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3</w:t>
      </w:r>
      <w:r>
        <w:rPr>
          <w:rFonts w:hint="eastAsia" w:hAnsi="宋体" w:cs="宋体"/>
          <w:b/>
          <w:bCs/>
          <w:color w:val="auto"/>
          <w:sz w:val="21"/>
          <w:highlight w:val="none"/>
        </w:rPr>
        <w:t>）售后服务（满分</w:t>
      </w:r>
      <w:r>
        <w:rPr>
          <w:rFonts w:hint="eastAsia" w:hAnsi="宋体" w:cs="宋体"/>
          <w:b/>
          <w:bCs/>
          <w:color w:val="auto"/>
          <w:sz w:val="21"/>
          <w:highlight w:val="none"/>
          <w:lang w:val="en-US" w:eastAsia="zh-CN"/>
        </w:rPr>
        <w:t>24</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w:t>
      </w:r>
      <w:r>
        <w:rPr>
          <w:rFonts w:hint="eastAsia" w:hAnsi="宋体" w:cs="宋体"/>
          <w:b w:val="0"/>
          <w:bCs w:val="0"/>
          <w:color w:val="auto"/>
          <w:sz w:val="21"/>
          <w:highlight w:val="none"/>
          <w:lang w:eastAsia="zh-CN"/>
        </w:rPr>
        <w:t>售后</w:t>
      </w:r>
      <w:r>
        <w:rPr>
          <w:rFonts w:hint="eastAsia" w:hAnsi="宋体" w:cs="宋体"/>
          <w:b w:val="0"/>
          <w:bCs w:val="0"/>
          <w:color w:val="auto"/>
          <w:sz w:val="21"/>
          <w:highlight w:val="none"/>
        </w:rPr>
        <w:t>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w:t>
      </w:r>
      <w:r>
        <w:rPr>
          <w:rFonts w:hint="eastAsia" w:hAnsi="宋体" w:cs="宋体"/>
          <w:b w:val="0"/>
          <w:bCs w:val="0"/>
          <w:color w:val="auto"/>
          <w:sz w:val="21"/>
          <w:highlight w:val="none"/>
          <w:lang w:eastAsia="zh-CN"/>
        </w:rPr>
        <w:t>售后服务</w:t>
      </w:r>
      <w:r>
        <w:rPr>
          <w:rFonts w:hint="eastAsia" w:hAnsi="宋体" w:cs="宋体"/>
          <w:b w:val="0"/>
          <w:bCs w:val="0"/>
          <w:color w:val="auto"/>
          <w:sz w:val="21"/>
          <w:highlight w:val="none"/>
        </w:rPr>
        <w:t>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8</w:t>
      </w:r>
      <w:r>
        <w:rPr>
          <w:rFonts w:hint="eastAsia" w:hAnsi="宋体" w:cs="宋体"/>
          <w:color w:val="auto"/>
          <w:sz w:val="21"/>
          <w:highlight w:val="none"/>
        </w:rPr>
        <w:t>分）：服务方案包含有项目售后服务维护，但方案较为简单，缺乏针对性。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16</w:t>
      </w:r>
      <w:r>
        <w:rPr>
          <w:rFonts w:hint="eastAsia" w:hAnsi="宋体" w:cs="宋体"/>
          <w:color w:val="auto"/>
          <w:sz w:val="21"/>
          <w:highlight w:val="none"/>
        </w:rPr>
        <w:t>分）：方案包含有项目服务维护、保密承诺及廉洁承诺等，且描述了项目维护的方法以及实现方式，方案合理可行，具有针对性。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24</w:t>
      </w:r>
      <w:r>
        <w:rPr>
          <w:rFonts w:hint="eastAsia" w:hAnsi="宋体" w:cs="宋体"/>
          <w:color w:val="auto"/>
          <w:sz w:val="21"/>
          <w:highlight w:val="none"/>
        </w:rPr>
        <w:t>分）：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6</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3</w:t>
      </w:r>
      <w:r>
        <w:rPr>
          <w:rFonts w:hint="eastAsia" w:hAnsi="宋体" w:cs="宋体"/>
          <w:color w:val="auto"/>
          <w:sz w:val="21"/>
          <w:highlight w:val="none"/>
        </w:rPr>
        <w:t>分，满分</w:t>
      </w:r>
      <w:r>
        <w:rPr>
          <w:rFonts w:hint="eastAsia" w:hAnsi="宋体" w:cs="宋体"/>
          <w:color w:val="auto"/>
          <w:sz w:val="21"/>
          <w:highlight w:val="none"/>
          <w:lang w:val="en-US" w:eastAsia="zh-CN"/>
        </w:rPr>
        <w:t>6</w:t>
      </w:r>
      <w:r>
        <w:rPr>
          <w:rFonts w:hint="eastAsia" w:hAnsi="宋体" w:cs="宋体"/>
          <w:color w:val="auto"/>
          <w:sz w:val="21"/>
          <w:highlight w:val="none"/>
        </w:rPr>
        <w:t>分。（以开具发票或者中标（成交）通知书或合同复印件为准，并加盖供应商公章。）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本项目确定一名成交供应商。采购单位应当确定磋商小组推荐排名第一的成交候选供应商为成交供应商。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pStyle w:val="23"/>
        <w:spacing w:line="440" w:lineRule="exact"/>
        <w:ind w:firstLine="420"/>
        <w:rPr>
          <w:rFonts w:hAnsi="宋体" w:cs="宋体"/>
          <w:color w:val="auto"/>
          <w:sz w:val="21"/>
          <w:highlight w:val="none"/>
        </w:rPr>
        <w:sectPr>
          <w:headerReference r:id="rId5" w:type="first"/>
          <w:footerReference r:id="rId8" w:type="first"/>
          <w:footerReference r:id="rId6" w:type="default"/>
          <w:footerReference r:id="rId7" w:type="even"/>
          <w:pgSz w:w="11906" w:h="16838"/>
          <w:pgMar w:top="1134" w:right="1247" w:bottom="1134" w:left="1247" w:header="851" w:footer="1310" w:gutter="0"/>
          <w:cols w:space="720" w:num="1"/>
          <w:docGrid w:linePitch="312" w:charSpace="0"/>
        </w:sectPr>
      </w:pPr>
    </w:p>
    <w:bookmarkEnd w:id="72"/>
    <w:p>
      <w:pPr>
        <w:pStyle w:val="5"/>
        <w:spacing w:before="0" w:after="0" w:line="44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标项二（广西农业农村厅协同办公系统平台运维服务）适用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w:t>
      </w:r>
      <w:r>
        <w:rPr>
          <w:rFonts w:hint="eastAsia" w:hAnsi="宋体" w:cs="宋体"/>
          <w:color w:val="auto"/>
          <w:sz w:val="21"/>
          <w:highlight w:val="none"/>
          <w:lang w:val="zh-CN"/>
        </w:rPr>
        <w:t>专门面向小微企业采购的项目</w:t>
      </w:r>
      <w:r>
        <w:rPr>
          <w:rFonts w:hint="eastAsia" w:hAnsi="宋体" w:cs="宋体"/>
          <w:color w:val="auto"/>
          <w:sz w:val="21"/>
          <w:highlight w:val="none"/>
        </w:rPr>
        <w:t>，不再执行价格评审优惠的扶持政策，评审报价＝竞标报价。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2、技术分………………………………………………………………………………………70分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(1)服务总体方案（满分20分）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由评标小组成员根据供应商提供的服务总体方案进行独立评审并独立打分。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一档（0分）：未提供服务总体方案或提供的服务总体方案与本项目不相符；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驻场保障服务方案内容详实，定期预防性检查、故障处理措施可操作性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五档（20分）：满足四档的基础上，提供的服务技术方案详细完善，管理流程清晰到位，有符合需求特点的服务监督及保障机制。承诺的响应时间、安全评估服务、例行检查方案情况等内容详细，驻场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(2)运维服务方案分（满分20分）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由评标小组成员根据供应商提供的运维服务方案进行独立评审并独立打分。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一档（0分）：未提供运维服务方案或提供的方案与本项目不相符；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二档（5分）：运维服务方案对于开发语言选择、服务器部署、与相关联系统接口数据流设计等系统运维工作内容有合理的叙述，服务内容符合采购需求；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五档（20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(3)应急保障方案（满分15分）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根据供应商提供的应急保障方案中项目特点和实际情况的执行方案确定各供应商所属档次并打分。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一档（0分）：未提供应急事件处理方案或提供的方案与本项目不相符；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二档（5分）：提供有应急事件处理方案，符合本项目实际情况，有较完整相应的应急保障内容；</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三档（10分）：应急预案和配合方案具体详实，对应急服务措施、响应时间、质量控制等承诺有较详细描述，有相应的预案演练方案、流程；</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关键业务时间节点（年度结息、年终结算）、关键事件（攻防演练、应急演练、三级等保测评）的应急保障方案合理可行，有相应的应急保障措施（系统备份恢复、灾难应急演练、应用级性能优化、安全性维护、人员职责明确、管理制度完善、保密制度规范、应急预案），对项目的风险预见、风险应对措施完备。</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（4）培训服务方案分（满分15分）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根据供应商提供的培训服务方案中项目特点和实际情况的执行方案确定各供应商所属档次并打分。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一档（0分）：未提供培训方案或提供的内容与本项目不相符；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二档（5分）：有简单的培训计划承诺、内容能满足项目采购需求；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三档（10分）：提供的培训计划内容描述详细，培训时间安排合理内容完整，培训组织管理计划措施具体可行；</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四档（15分）：培训课程设置合理，培训内容针对性强，课程方案较具体，内容与模块间的关联度高，且培训材料结合本项目培训要求，培训组织管理计划周详、考虑齐全。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3、商务分………………………………………………………………………………20分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（1）项目团队人员分（满分4分）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项目经理：持有高级信息系统项目管理师证书，并在有效期内得2分，满分2分；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项目驻场人员：持有中级计算机技术与软件专业技术资格证书得2分，满分2分。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（2）履约能力分（满分6分）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供应商具有与本项目履约能力ISO9000系列证书或人力资源服务许可证，每个服务资质证书得2分，满分6分。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（3）项目业绩分（满分10分）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供应商自2022年1月1日以来，具有类似项目案例，每个有效业绩得2分，满分10分。（提供合同或者中标/成交通知书复印件，加盖供应商签章）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p>
    <w:p>
      <w:pPr>
        <w:pStyle w:val="5"/>
        <w:spacing w:before="0" w:after="0" w:line="440" w:lineRule="exact"/>
        <w:jc w:val="center"/>
        <w:rPr>
          <w:rFonts w:ascii="宋体" w:hAnsi="宋体" w:eastAsia="宋体" w:cs="宋体"/>
          <w:color w:val="auto"/>
          <w:kern w:val="0"/>
          <w:sz w:val="28"/>
          <w:szCs w:val="28"/>
          <w:highlight w:val="none"/>
        </w:rPr>
      </w:pPr>
      <w:bookmarkStart w:id="73" w:name="OLE_LINK64"/>
      <w:r>
        <w:rPr>
          <w:rFonts w:hint="eastAsia" w:ascii="宋体" w:hAnsi="宋体" w:eastAsia="宋体" w:cs="宋体"/>
          <w:color w:val="auto"/>
          <w:kern w:val="0"/>
          <w:sz w:val="28"/>
          <w:szCs w:val="28"/>
          <w:highlight w:val="none"/>
        </w:rPr>
        <w:t>标项三（广西农产品产销价格监测预警系统运维及数据采集服务）适用</w:t>
      </w:r>
    </w:p>
    <w:p>
      <w:pPr>
        <w:pStyle w:val="23"/>
        <w:spacing w:line="440" w:lineRule="exact"/>
        <w:ind w:firstLine="420"/>
        <w:rPr>
          <w:rFonts w:hAnsi="宋体" w:cs="宋体"/>
          <w:b/>
          <w:bCs/>
          <w:color w:val="auto"/>
          <w:sz w:val="21"/>
          <w:highlight w:val="none"/>
        </w:rPr>
      </w:pPr>
      <w:bookmarkStart w:id="74" w:name="OLE_LINK73"/>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w:t>
      </w:r>
      <w:r>
        <w:rPr>
          <w:rFonts w:hint="eastAsia" w:hAnsi="宋体" w:cs="宋体"/>
          <w:color w:val="auto"/>
          <w:sz w:val="21"/>
          <w:highlight w:val="none"/>
          <w:lang w:eastAsia="zh-CN"/>
        </w:rPr>
        <w:t>小微</w:t>
      </w:r>
      <w:r>
        <w:rPr>
          <w:rFonts w:hint="eastAsia" w:hAnsi="宋体" w:cs="宋体"/>
          <w:color w:val="auto"/>
          <w:sz w:val="21"/>
          <w:highlight w:val="none"/>
        </w:rPr>
        <w:t>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80</w:t>
      </w:r>
      <w:r>
        <w:rPr>
          <w:rFonts w:hint="eastAsia" w:hAnsi="宋体" w:cs="宋体"/>
          <w:b/>
          <w:bCs/>
          <w:color w:val="auto"/>
          <w:sz w:val="21"/>
          <w:highlight w:val="none"/>
        </w:rPr>
        <w:t>分</w:t>
      </w:r>
    </w:p>
    <w:p>
      <w:pPr>
        <w:pStyle w:val="23"/>
        <w:spacing w:line="440" w:lineRule="exact"/>
        <w:ind w:firstLine="420"/>
        <w:rPr>
          <w:rFonts w:hAnsi="宋体" w:cs="宋体"/>
          <w:b/>
          <w:bCs/>
          <w:color w:val="auto"/>
          <w:sz w:val="21"/>
          <w:highlight w:val="none"/>
        </w:rPr>
      </w:pPr>
      <w:bookmarkStart w:id="75" w:name="OLE_LINK40"/>
      <w:r>
        <w:rPr>
          <w:rFonts w:hint="eastAsia" w:hAnsi="宋体" w:cs="宋体"/>
          <w:b/>
          <w:bCs/>
          <w:color w:val="auto"/>
          <w:sz w:val="21"/>
          <w:highlight w:val="none"/>
        </w:rPr>
        <w:t>(1)</w:t>
      </w:r>
      <w:r>
        <w:rPr>
          <w:rFonts w:hint="eastAsia" w:hAnsi="宋体" w:cs="宋体"/>
          <w:b/>
          <w:bCs/>
          <w:color w:val="auto"/>
          <w:sz w:val="21"/>
          <w:highlight w:val="none"/>
          <w:lang w:eastAsia="zh-CN"/>
        </w:rPr>
        <w:t>系统运维</w:t>
      </w:r>
      <w:r>
        <w:rPr>
          <w:rFonts w:hint="eastAsia" w:hAnsi="宋体" w:cs="宋体"/>
          <w:b/>
          <w:bCs/>
          <w:color w:val="auto"/>
          <w:sz w:val="21"/>
          <w:highlight w:val="none"/>
        </w:rPr>
        <w:t>服务总体方案（满分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bookmarkStart w:id="76" w:name="OLE_LINK41"/>
      <w:r>
        <w:rPr>
          <w:rFonts w:hint="eastAsia" w:hAnsi="宋体" w:cs="宋体"/>
          <w:color w:val="auto"/>
          <w:sz w:val="21"/>
          <w:highlight w:val="none"/>
        </w:rPr>
        <w:t>由评标小组成员根据供应商提供的服务总体方案确定各供应商所属档次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一档（0分）：未提供服务总体方案或提供的服务总体方案与本项目不相符；</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驻场保障服务方案内容详实，定期预防性检查、故障处理措施可操作性强；</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五档（</w:t>
      </w:r>
      <w:r>
        <w:rPr>
          <w:rFonts w:hint="eastAsia" w:hAnsi="宋体" w:cs="宋体"/>
          <w:color w:val="auto"/>
          <w:sz w:val="21"/>
          <w:highlight w:val="none"/>
          <w:lang w:val="en-US" w:eastAsia="zh-CN"/>
        </w:rPr>
        <w:t>25</w:t>
      </w:r>
      <w:r>
        <w:rPr>
          <w:rFonts w:hint="eastAsia" w:hAnsi="宋体" w:cs="宋体"/>
          <w:color w:val="auto"/>
          <w:sz w:val="21"/>
          <w:highlight w:val="none"/>
        </w:rPr>
        <w:t>分）：满足四档的基础上，提供的服务技术方案详细完善，管理流程清晰到位，有符合需求特点的服务监督及保障机制。承诺的响应时间、安全评估服务、例行检查方案情况等内容详细，驻场保障服务方案能有效保障项目的整体实施；制定有定期预防性检查、故障处理措施，有针对重要时期保障措施、人员保障预案、资源协调预案，与服务对象的工作衔接能有效的实施维护工作。</w:t>
      </w:r>
    </w:p>
    <w:bookmarkEnd w:id="75"/>
    <w:bookmarkEnd w:id="76"/>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w:t>
      </w:r>
      <w:bookmarkStart w:id="77" w:name="OLE_LINK30"/>
      <w:r>
        <w:rPr>
          <w:rFonts w:hint="eastAsia" w:hAnsi="宋体" w:cs="宋体"/>
          <w:b/>
          <w:bCs/>
          <w:color w:val="auto"/>
          <w:sz w:val="21"/>
          <w:highlight w:val="none"/>
        </w:rPr>
        <w:t>农产品产销价格采集员管理方案</w:t>
      </w:r>
      <w:bookmarkEnd w:id="77"/>
      <w:r>
        <w:rPr>
          <w:rFonts w:hint="eastAsia" w:hAnsi="宋体" w:cs="宋体"/>
          <w:b/>
          <w:bCs/>
          <w:color w:val="auto"/>
          <w:sz w:val="21"/>
          <w:highlight w:val="none"/>
        </w:rPr>
        <w:t>（满分20分）</w:t>
      </w:r>
    </w:p>
    <w:p>
      <w:pPr>
        <w:pStyle w:val="23"/>
        <w:spacing w:line="440" w:lineRule="exact"/>
        <w:ind w:firstLine="420"/>
        <w:rPr>
          <w:rFonts w:hint="eastAsia" w:hAnsi="宋体" w:cs="宋体"/>
          <w:color w:val="auto"/>
          <w:sz w:val="21"/>
          <w:highlight w:val="none"/>
        </w:rPr>
      </w:pPr>
      <w:bookmarkStart w:id="78" w:name="OLE_LINK42"/>
      <w:r>
        <w:rPr>
          <w:rFonts w:hint="eastAsia" w:hAnsi="宋体" w:cs="宋体"/>
          <w:color w:val="auto"/>
          <w:sz w:val="21"/>
          <w:highlight w:val="none"/>
        </w:rPr>
        <w:t>由评标小组成员根据供应商提供的</w:t>
      </w:r>
      <w:bookmarkStart w:id="79" w:name="OLE_LINK31"/>
      <w:r>
        <w:rPr>
          <w:rFonts w:hint="eastAsia" w:hAnsi="宋体" w:cs="宋体"/>
          <w:color w:val="auto"/>
          <w:sz w:val="21"/>
          <w:highlight w:val="none"/>
        </w:rPr>
        <w:t>农产品产销价格采集员管理方案</w:t>
      </w:r>
      <w:bookmarkEnd w:id="79"/>
      <w:bookmarkStart w:id="80" w:name="OLE_LINK32"/>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bookmarkEnd w:id="80"/>
    </w:p>
    <w:p>
      <w:pPr>
        <w:pStyle w:val="23"/>
        <w:spacing w:line="440" w:lineRule="exact"/>
        <w:ind w:firstLine="420"/>
        <w:rPr>
          <w:rFonts w:hint="eastAsia" w:hAnsi="宋体" w:cs="宋体"/>
          <w:color w:val="auto"/>
          <w:sz w:val="21"/>
          <w:highlight w:val="none"/>
        </w:rPr>
      </w:pPr>
      <w:bookmarkStart w:id="81" w:name="OLE_LINK33"/>
      <w:r>
        <w:rPr>
          <w:rFonts w:hint="eastAsia" w:hAnsi="宋体" w:cs="宋体"/>
          <w:color w:val="auto"/>
          <w:sz w:val="21"/>
          <w:highlight w:val="none"/>
        </w:rPr>
        <w:t>一档（0分）：未提供农产品产销价格采集员管理方案或提供的方案与本项目不相符；</w:t>
      </w:r>
    </w:p>
    <w:bookmarkEnd w:id="81"/>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档（7分）：农产品产销价格采集点的管理方案基本满足本项目需要，在酬劳管理、上报方式等方面有简单描述。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档（14分）：农产品产销价格采集点的管理方案详细、合理，在酬劳管理、上报方式等方面有针对性，有采集员变更、考核机制。</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档（20分）：农产品产销价格采集点的管理方案详细、合理、可操作性强，对本项目有针对性，对采集员日常管理、变更、考核、奖励及惩罚、上报方式等有详细机制。</w:t>
      </w:r>
    </w:p>
    <w:bookmarkEnd w:id="78"/>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(3)价格数据分析报告及每周价格数据分析excel报表设计方案(满分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由</w:t>
      </w:r>
      <w:r>
        <w:rPr>
          <w:rFonts w:hint="eastAsia" w:hAnsi="宋体" w:cs="宋体"/>
          <w:color w:val="auto"/>
          <w:sz w:val="21"/>
          <w:highlight w:val="none"/>
          <w:lang w:eastAsia="zh-CN"/>
        </w:rPr>
        <w:t>评标</w:t>
      </w:r>
      <w:r>
        <w:rPr>
          <w:rFonts w:hint="eastAsia" w:hAnsi="宋体" w:cs="宋体"/>
          <w:color w:val="auto"/>
          <w:sz w:val="21"/>
          <w:highlight w:val="none"/>
        </w:rPr>
        <w:t>小组</w:t>
      </w:r>
      <w:r>
        <w:rPr>
          <w:rFonts w:hint="eastAsia" w:hAnsi="宋体" w:cs="宋体"/>
          <w:color w:val="auto"/>
          <w:sz w:val="21"/>
          <w:highlight w:val="none"/>
          <w:lang w:eastAsia="zh-CN"/>
        </w:rPr>
        <w:t>成员</w:t>
      </w:r>
      <w:r>
        <w:rPr>
          <w:rFonts w:hint="eastAsia" w:hAnsi="宋体" w:cs="宋体"/>
          <w:color w:val="auto"/>
          <w:sz w:val="21"/>
          <w:highlight w:val="none"/>
        </w:rPr>
        <w:t>根据供应商提供的</w:t>
      </w:r>
      <w:bookmarkStart w:id="82" w:name="OLE_LINK25"/>
      <w:bookmarkStart w:id="83" w:name="OLE_LINK34"/>
      <w:r>
        <w:rPr>
          <w:rFonts w:hint="eastAsia" w:hAnsi="宋体" w:cs="宋体"/>
          <w:color w:val="auto"/>
          <w:sz w:val="21"/>
          <w:highlight w:val="none"/>
          <w:lang w:eastAsia="zh-CN"/>
        </w:rPr>
        <w:t>价格数据分析报告</w:t>
      </w:r>
      <w:bookmarkEnd w:id="82"/>
      <w:r>
        <w:rPr>
          <w:rFonts w:hint="eastAsia" w:hAnsi="宋体" w:cs="宋体"/>
          <w:color w:val="auto"/>
          <w:sz w:val="21"/>
          <w:highlight w:val="none"/>
          <w:lang w:eastAsia="zh-CN"/>
        </w:rPr>
        <w:t>以</w:t>
      </w:r>
      <w:bookmarkStart w:id="84" w:name="OLE_LINK26"/>
      <w:r>
        <w:rPr>
          <w:rFonts w:hint="eastAsia" w:hAnsi="宋体" w:cs="宋体"/>
          <w:color w:val="auto"/>
          <w:sz w:val="21"/>
          <w:highlight w:val="none"/>
          <w:lang w:eastAsia="zh-CN"/>
        </w:rPr>
        <w:t>及每周价格数据分析</w:t>
      </w:r>
      <w:r>
        <w:rPr>
          <w:rFonts w:hint="eastAsia" w:hAnsi="宋体" w:cs="宋体"/>
          <w:color w:val="auto"/>
          <w:sz w:val="21"/>
          <w:highlight w:val="none"/>
          <w:lang w:val="en-US" w:eastAsia="zh-CN"/>
        </w:rPr>
        <w:t>excel报表设计方案</w:t>
      </w:r>
      <w:bookmarkEnd w:id="83"/>
      <w:bookmarkEnd w:id="84"/>
      <w:bookmarkStart w:id="85" w:name="OLE_LINK72"/>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bookmarkEnd w:id="85"/>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一档（0分）：未提供</w:t>
      </w:r>
      <w:r>
        <w:rPr>
          <w:rFonts w:hint="eastAsia" w:hAnsi="宋体" w:cs="宋体"/>
          <w:color w:val="auto"/>
          <w:sz w:val="21"/>
          <w:highlight w:val="none"/>
          <w:lang w:eastAsia="zh-CN"/>
        </w:rPr>
        <w:t>价格数据分析报告以及每周价格</w:t>
      </w:r>
      <w:bookmarkStart w:id="86" w:name="OLE_LINK35"/>
      <w:r>
        <w:rPr>
          <w:rFonts w:hint="eastAsia" w:hAnsi="宋体" w:cs="宋体"/>
          <w:color w:val="auto"/>
          <w:sz w:val="21"/>
          <w:highlight w:val="none"/>
          <w:lang w:eastAsia="zh-CN"/>
        </w:rPr>
        <w:t>数据分析</w:t>
      </w:r>
      <w:r>
        <w:rPr>
          <w:rFonts w:hint="eastAsia" w:hAnsi="宋体" w:cs="宋体"/>
          <w:color w:val="auto"/>
          <w:sz w:val="21"/>
          <w:highlight w:val="none"/>
          <w:lang w:val="en-US" w:eastAsia="zh-CN"/>
        </w:rPr>
        <w:t>excel报表</w:t>
      </w:r>
      <w:bookmarkEnd w:id="86"/>
      <w:r>
        <w:rPr>
          <w:rFonts w:hint="eastAsia" w:hAnsi="宋体" w:cs="宋体"/>
          <w:color w:val="auto"/>
          <w:sz w:val="21"/>
          <w:highlight w:val="none"/>
          <w:lang w:val="en-US" w:eastAsia="zh-CN"/>
        </w:rPr>
        <w:t>设计方案</w:t>
      </w:r>
      <w:r>
        <w:rPr>
          <w:rFonts w:hint="eastAsia" w:hAnsi="宋体" w:cs="宋体"/>
          <w:color w:val="auto"/>
          <w:sz w:val="21"/>
          <w:highlight w:val="none"/>
        </w:rPr>
        <w:t>或提供的</w:t>
      </w:r>
      <w:r>
        <w:rPr>
          <w:rFonts w:hint="eastAsia" w:hAnsi="宋体" w:cs="宋体"/>
          <w:color w:val="auto"/>
          <w:sz w:val="21"/>
          <w:highlight w:val="none"/>
          <w:lang w:eastAsia="zh-CN"/>
        </w:rPr>
        <w:t>报告及</w:t>
      </w:r>
      <w:r>
        <w:rPr>
          <w:rFonts w:hint="eastAsia" w:hAnsi="宋体" w:cs="宋体"/>
          <w:color w:val="auto"/>
          <w:sz w:val="21"/>
          <w:highlight w:val="none"/>
        </w:rPr>
        <w:t>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w:t>
      </w:r>
      <w:r>
        <w:rPr>
          <w:rFonts w:hint="eastAsia" w:hAnsi="宋体" w:cs="宋体"/>
          <w:color w:val="auto"/>
          <w:sz w:val="21"/>
          <w:highlight w:val="none"/>
          <w:lang w:val="en-US" w:eastAsia="zh-CN"/>
        </w:rPr>
        <w:t>7</w:t>
      </w:r>
      <w:r>
        <w:rPr>
          <w:rFonts w:hint="eastAsia" w:hAnsi="宋体" w:cs="宋体"/>
          <w:color w:val="auto"/>
          <w:sz w:val="21"/>
          <w:highlight w:val="none"/>
        </w:rPr>
        <w:t>分）：满足采购文件要求，对</w:t>
      </w:r>
      <w:r>
        <w:rPr>
          <w:rFonts w:hint="eastAsia" w:hAnsi="宋体" w:cs="宋体"/>
          <w:color w:val="auto"/>
          <w:sz w:val="21"/>
          <w:highlight w:val="none"/>
          <w:lang w:eastAsia="zh-CN"/>
        </w:rPr>
        <w:t>价格数据分析报告及数据分析</w:t>
      </w:r>
      <w:r>
        <w:rPr>
          <w:rFonts w:hint="eastAsia" w:hAnsi="宋体" w:cs="宋体"/>
          <w:color w:val="auto"/>
          <w:sz w:val="21"/>
          <w:highlight w:val="none"/>
          <w:lang w:val="en-US" w:eastAsia="zh-CN"/>
        </w:rPr>
        <w:t>excel报表设计方案</w:t>
      </w:r>
      <w:r>
        <w:rPr>
          <w:rFonts w:hint="eastAsia" w:hAnsi="宋体" w:cs="宋体"/>
          <w:color w:val="auto"/>
          <w:sz w:val="21"/>
          <w:highlight w:val="none"/>
        </w:rPr>
        <w:t>只进行了简单的描述。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w:t>
      </w:r>
      <w:r>
        <w:rPr>
          <w:rFonts w:hint="eastAsia" w:hAnsi="宋体" w:cs="宋体"/>
          <w:color w:val="auto"/>
          <w:sz w:val="21"/>
          <w:highlight w:val="none"/>
          <w:lang w:val="en-US" w:eastAsia="zh-CN"/>
        </w:rPr>
        <w:t>14</w:t>
      </w:r>
      <w:r>
        <w:rPr>
          <w:rFonts w:hint="eastAsia" w:hAnsi="宋体" w:cs="宋体"/>
          <w:color w:val="auto"/>
          <w:sz w:val="21"/>
          <w:highlight w:val="none"/>
        </w:rPr>
        <w:t>分）：</w:t>
      </w:r>
      <w:bookmarkStart w:id="87" w:name="OLE_LINK27"/>
      <w:r>
        <w:rPr>
          <w:rFonts w:hint="eastAsia" w:hAnsi="宋体" w:cs="宋体"/>
          <w:color w:val="auto"/>
          <w:sz w:val="21"/>
          <w:highlight w:val="none"/>
          <w:lang w:eastAsia="zh-CN"/>
        </w:rPr>
        <w:t>价格数据分析报告</w:t>
      </w:r>
      <w:bookmarkEnd w:id="87"/>
      <w:r>
        <w:rPr>
          <w:rFonts w:hint="eastAsia" w:hAnsi="宋体" w:cs="宋体"/>
          <w:color w:val="auto"/>
          <w:sz w:val="21"/>
          <w:highlight w:val="none"/>
        </w:rPr>
        <w:t>简单粗浅，基本可行,描述不够全面和深入。</w:t>
      </w:r>
      <w:r>
        <w:rPr>
          <w:rFonts w:hint="eastAsia" w:hAnsi="宋体" w:cs="宋体"/>
          <w:color w:val="auto"/>
          <w:sz w:val="21"/>
          <w:highlight w:val="none"/>
          <w:lang w:eastAsia="zh-CN"/>
        </w:rPr>
        <w:t>报告中分析的农产品品种不够全面，涨跌原因不够详实，走势分析不够深入，每周价格数据分析</w:t>
      </w:r>
      <w:r>
        <w:rPr>
          <w:rFonts w:hint="eastAsia" w:hAnsi="宋体" w:cs="宋体"/>
          <w:color w:val="auto"/>
          <w:sz w:val="21"/>
          <w:highlight w:val="none"/>
          <w:lang w:val="en-US" w:eastAsia="zh-CN"/>
        </w:rPr>
        <w:t>excel报表设计简单</w:t>
      </w:r>
      <w:r>
        <w:rPr>
          <w:rFonts w:hint="eastAsia" w:hAnsi="宋体" w:cs="宋体"/>
          <w:color w:val="auto"/>
          <w:sz w:val="21"/>
          <w:highlight w:val="none"/>
          <w:lang w:eastAsia="zh-CN"/>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w:t>
      </w:r>
      <w:r>
        <w:rPr>
          <w:rFonts w:hint="eastAsia" w:hAnsi="宋体" w:cs="宋体"/>
          <w:color w:val="auto"/>
          <w:sz w:val="21"/>
          <w:highlight w:val="none"/>
          <w:lang w:val="en-US" w:eastAsia="zh-CN"/>
        </w:rPr>
        <w:t>20</w:t>
      </w:r>
      <w:r>
        <w:rPr>
          <w:rFonts w:hint="eastAsia" w:hAnsi="宋体" w:cs="宋体"/>
          <w:color w:val="auto"/>
          <w:sz w:val="21"/>
          <w:highlight w:val="none"/>
        </w:rPr>
        <w:t>分）：</w:t>
      </w:r>
      <w:r>
        <w:rPr>
          <w:rFonts w:hint="eastAsia" w:hAnsi="宋体" w:cs="宋体"/>
          <w:color w:val="auto"/>
          <w:sz w:val="21"/>
          <w:highlight w:val="none"/>
          <w:lang w:eastAsia="zh-CN"/>
        </w:rPr>
        <w:t>价格数据分析报告提纲内容详实、分析深入，有</w:t>
      </w:r>
      <w:r>
        <w:rPr>
          <w:rFonts w:hint="eastAsia" w:ascii="宋体" w:hAnsi="宋体" w:cs="宋体"/>
          <w:color w:val="auto"/>
          <w:sz w:val="21"/>
          <w:szCs w:val="21"/>
          <w:highlight w:val="none"/>
        </w:rPr>
        <w:t>蔬菜、水果、食用菌</w:t>
      </w:r>
      <w:r>
        <w:rPr>
          <w:rFonts w:hint="eastAsia" w:hAnsi="宋体" w:cs="宋体"/>
          <w:color w:val="auto"/>
          <w:sz w:val="21"/>
          <w:szCs w:val="21"/>
          <w:highlight w:val="none"/>
          <w:lang w:eastAsia="zh-CN"/>
        </w:rPr>
        <w:t>，月</w:t>
      </w:r>
      <w:r>
        <w:rPr>
          <w:rFonts w:hint="eastAsia" w:ascii="宋体" w:hAnsi="宋体" w:cs="宋体"/>
          <w:color w:val="auto"/>
          <w:sz w:val="21"/>
          <w:szCs w:val="21"/>
          <w:highlight w:val="none"/>
        </w:rPr>
        <w:t>度、季度、半年度、年度</w:t>
      </w:r>
      <w:r>
        <w:rPr>
          <w:rFonts w:hint="eastAsia" w:hAnsi="宋体" w:cs="宋体"/>
          <w:color w:val="auto"/>
          <w:sz w:val="21"/>
          <w:highlight w:val="none"/>
          <w:lang w:eastAsia="zh-CN"/>
        </w:rPr>
        <w:t>农产品价格行情分析、走势分析，每周价格数据分析</w:t>
      </w:r>
      <w:r>
        <w:rPr>
          <w:rFonts w:hint="eastAsia" w:hAnsi="宋体" w:cs="宋体"/>
          <w:color w:val="auto"/>
          <w:sz w:val="21"/>
          <w:highlight w:val="none"/>
          <w:lang w:val="en-US" w:eastAsia="zh-CN"/>
        </w:rPr>
        <w:t>excel报表设计能够较好的辅助周报的撰写，</w:t>
      </w:r>
      <w:r>
        <w:rPr>
          <w:rFonts w:hint="eastAsia" w:hAnsi="宋体" w:cs="宋体"/>
          <w:color w:val="auto"/>
          <w:sz w:val="21"/>
          <w:highlight w:val="none"/>
        </w:rPr>
        <w:t>对本项目有针对性。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（4）售后服务方案（满分15分）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由评标小组成员根据供应商提供的</w:t>
      </w:r>
      <w:bookmarkStart w:id="88" w:name="OLE_LINK28"/>
      <w:r>
        <w:rPr>
          <w:rFonts w:hint="eastAsia" w:hAnsi="宋体" w:cs="宋体"/>
          <w:color w:val="auto"/>
          <w:sz w:val="21"/>
          <w:highlight w:val="none"/>
          <w:lang w:eastAsia="zh-CN"/>
        </w:rPr>
        <w:t>售后服务</w:t>
      </w:r>
      <w:r>
        <w:rPr>
          <w:rFonts w:hint="eastAsia" w:hAnsi="宋体" w:cs="宋体"/>
          <w:color w:val="auto"/>
          <w:sz w:val="21"/>
          <w:highlight w:val="none"/>
        </w:rPr>
        <w:t>方案</w:t>
      </w:r>
      <w:bookmarkEnd w:id="88"/>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w:t>
      </w:r>
      <w:r>
        <w:rPr>
          <w:rFonts w:hint="eastAsia" w:hAnsi="宋体" w:cs="宋体"/>
          <w:color w:val="auto"/>
          <w:sz w:val="21"/>
          <w:highlight w:val="none"/>
          <w:lang w:eastAsia="zh-CN"/>
        </w:rPr>
        <w:t>售后服务</w:t>
      </w:r>
      <w:r>
        <w:rPr>
          <w:rFonts w:hint="eastAsia" w:hAnsi="宋体" w:cs="宋体"/>
          <w:color w:val="auto"/>
          <w:sz w:val="21"/>
          <w:highlight w:val="none"/>
        </w:rPr>
        <w:t>方案或提供的</w:t>
      </w:r>
      <w:r>
        <w:rPr>
          <w:rFonts w:hint="eastAsia" w:hAnsi="宋体" w:cs="宋体"/>
          <w:color w:val="auto"/>
          <w:sz w:val="21"/>
          <w:highlight w:val="none"/>
          <w:lang w:eastAsia="zh-CN"/>
        </w:rPr>
        <w:t>售后服务</w:t>
      </w:r>
      <w:r>
        <w:rPr>
          <w:rFonts w:hint="eastAsia" w:hAnsi="宋体" w:cs="宋体"/>
          <w:color w:val="auto"/>
          <w:sz w:val="21"/>
          <w:highlight w:val="none"/>
        </w:rPr>
        <w:t>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档（5分）：在服务地区长期驻有技术服务团队，服务方案包含有项目售后服务维护，但方案较为简单，缺乏针对性。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档（10分）：在服务地区长期驻有技术服务团队且人数达2人，方案包含有项目服务维护、保密承诺及廉洁承诺等，且描述了项目维护的方法以及实现方式，方案合理可行，具有针对性。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15分）：在服务地区长期驻有技术服务团队且人数达6人或以上，一年驻场服务人数达1人以上，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3、商务分………………………………………………………………………………1</w:t>
      </w:r>
      <w:r>
        <w:rPr>
          <w:rFonts w:hint="eastAsia" w:hAnsi="宋体" w:cs="宋体"/>
          <w:b/>
          <w:bCs/>
          <w:color w:val="auto"/>
          <w:sz w:val="21"/>
          <w:highlight w:val="none"/>
          <w:lang w:val="en-US" w:eastAsia="zh-CN"/>
        </w:rPr>
        <w:t>0</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2</w:t>
      </w:r>
      <w:r>
        <w:rPr>
          <w:rFonts w:hint="eastAsia" w:hAnsi="宋体" w:cs="宋体"/>
          <w:color w:val="auto"/>
          <w:sz w:val="21"/>
          <w:highlight w:val="none"/>
        </w:rPr>
        <w:t>分，满分</w:t>
      </w:r>
      <w:r>
        <w:rPr>
          <w:rFonts w:hint="eastAsia" w:hAnsi="宋体" w:cs="宋体"/>
          <w:color w:val="auto"/>
          <w:sz w:val="21"/>
          <w:highlight w:val="none"/>
          <w:lang w:val="en-US" w:eastAsia="zh-CN"/>
        </w:rPr>
        <w:t>10</w:t>
      </w:r>
      <w:r>
        <w:rPr>
          <w:rFonts w:hint="eastAsia" w:hAnsi="宋体" w:cs="宋体"/>
          <w:color w:val="auto"/>
          <w:sz w:val="21"/>
          <w:highlight w:val="none"/>
        </w:rPr>
        <w:t>分。（以开具发票或者中标（成交）通知书或合同复印件为准，并加盖供应商公章。）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headerReference r:id="rId10" w:type="first"/>
          <w:footerReference r:id="rId13" w:type="first"/>
          <w:headerReference r:id="rId9" w:type="default"/>
          <w:footerReference r:id="rId11" w:type="default"/>
          <w:footerReference r:id="rId12" w:type="even"/>
          <w:pgSz w:w="11906" w:h="16838"/>
          <w:pgMar w:top="1134" w:right="1247" w:bottom="1134" w:left="1247" w:header="851" w:footer="1310" w:gutter="0"/>
          <w:cols w:space="720" w:num="1"/>
          <w:docGrid w:linePitch="312" w:charSpace="0"/>
        </w:sectPr>
      </w:pPr>
    </w:p>
    <w:bookmarkEnd w:id="73"/>
    <w:bookmarkEnd w:id="74"/>
    <w:p>
      <w:pPr>
        <w:pStyle w:val="5"/>
        <w:spacing w:before="0" w:after="0" w:line="440" w:lineRule="exact"/>
        <w:jc w:val="center"/>
        <w:rPr>
          <w:rFonts w:ascii="宋体" w:hAnsi="宋体" w:eastAsia="宋体" w:cs="宋体"/>
          <w:color w:val="auto"/>
          <w:kern w:val="0"/>
          <w:sz w:val="28"/>
          <w:szCs w:val="28"/>
          <w:highlight w:val="none"/>
        </w:rPr>
      </w:pPr>
      <w:bookmarkStart w:id="89" w:name="OLE_LINK55"/>
      <w:bookmarkStart w:id="90" w:name="OLE_LINK59"/>
      <w:r>
        <w:rPr>
          <w:rFonts w:hint="eastAsia" w:ascii="宋体" w:hAnsi="宋体" w:eastAsia="宋体" w:cs="宋体"/>
          <w:color w:val="auto"/>
          <w:kern w:val="0"/>
          <w:sz w:val="28"/>
          <w:szCs w:val="28"/>
          <w:highlight w:val="none"/>
        </w:rPr>
        <w:t>标项四（广西农情信息管理系统运维服务）适用</w:t>
      </w:r>
    </w:p>
    <w:p>
      <w:pPr>
        <w:pStyle w:val="23"/>
        <w:spacing w:line="440" w:lineRule="exact"/>
        <w:ind w:firstLine="420"/>
        <w:rPr>
          <w:rFonts w:hAnsi="宋体" w:cs="宋体"/>
          <w:b/>
          <w:bCs/>
          <w:color w:val="auto"/>
          <w:sz w:val="21"/>
          <w:highlight w:val="none"/>
        </w:rPr>
      </w:pPr>
      <w:bookmarkStart w:id="91" w:name="OLE_LINK69"/>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2、技术分………………………………………………………………………………………75分</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(2)运维服务方案（满分20分）</w:t>
      </w:r>
    </w:p>
    <w:p>
      <w:pPr>
        <w:pStyle w:val="215"/>
        <w:spacing w:line="440" w:lineRule="exact"/>
        <w:ind w:firstLine="445"/>
        <w:rPr>
          <w:rFonts w:hint="eastAsia" w:hAnsi="宋体" w:cs="宋体"/>
          <w:b w:val="0"/>
          <w:bCs w:val="0"/>
          <w:color w:val="auto"/>
          <w:sz w:val="21"/>
          <w:highlight w:val="none"/>
        </w:rPr>
      </w:pPr>
      <w:bookmarkStart w:id="92" w:name="OLE_LINK29"/>
      <w:r>
        <w:rPr>
          <w:rFonts w:hint="eastAsia" w:hAnsi="宋体" w:cs="宋体"/>
          <w:b w:val="0"/>
          <w:bCs w:val="0"/>
          <w:color w:val="auto"/>
          <w:sz w:val="21"/>
          <w:highlight w:val="none"/>
        </w:rPr>
        <w:t>由评标小组成员</w:t>
      </w:r>
      <w:bookmarkEnd w:id="92"/>
      <w:r>
        <w:rPr>
          <w:rFonts w:hint="eastAsia" w:hAnsi="宋体" w:cs="宋体"/>
          <w:b w:val="0"/>
          <w:bCs w:val="0"/>
          <w:color w:val="auto"/>
          <w:sz w:val="21"/>
          <w:highlight w:val="none"/>
        </w:rPr>
        <w:t>根据供应商提供的运维服务方案确定各供应商所属档次并打分。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一档（0分）：未提供运维服务方案或提供的方案与本项目不相符；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20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(3)</w:t>
      </w:r>
      <w:bookmarkStart w:id="93" w:name="OLE_LINK36"/>
      <w:r>
        <w:rPr>
          <w:rFonts w:hint="eastAsia" w:hAnsi="宋体" w:cs="宋体"/>
          <w:b/>
          <w:bCs/>
          <w:color w:val="auto"/>
          <w:sz w:val="21"/>
          <w:highlight w:val="none"/>
          <w:lang w:eastAsia="zh-CN"/>
        </w:rPr>
        <w:t>农情进度报表配置</w:t>
      </w:r>
      <w:bookmarkEnd w:id="93"/>
      <w:r>
        <w:rPr>
          <w:rFonts w:hint="eastAsia" w:hAnsi="宋体" w:cs="宋体"/>
          <w:b/>
          <w:bCs/>
          <w:color w:val="auto"/>
          <w:sz w:val="21"/>
          <w:highlight w:val="none"/>
        </w:rPr>
        <w:t>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3"/>
        <w:spacing w:line="440" w:lineRule="exact"/>
        <w:ind w:firstLine="420"/>
        <w:rPr>
          <w:rFonts w:hint="eastAsia" w:hAnsi="宋体" w:cs="宋体"/>
          <w:b w:val="0"/>
          <w:bCs w:val="0"/>
          <w:color w:val="auto"/>
          <w:sz w:val="21"/>
          <w:highlight w:val="none"/>
        </w:rPr>
      </w:pPr>
      <w:bookmarkStart w:id="94" w:name="OLE_LINK65"/>
      <w:r>
        <w:rPr>
          <w:rFonts w:hint="eastAsia" w:hAnsi="宋体" w:cs="宋体"/>
          <w:b w:val="0"/>
          <w:bCs w:val="0"/>
          <w:color w:val="auto"/>
          <w:sz w:val="21"/>
          <w:highlight w:val="none"/>
        </w:rPr>
        <w:t>由评标小组成员</w:t>
      </w:r>
      <w:bookmarkEnd w:id="94"/>
      <w:r>
        <w:rPr>
          <w:rFonts w:hint="eastAsia" w:hAnsi="宋体" w:cs="宋体"/>
          <w:b w:val="0"/>
          <w:bCs w:val="0"/>
          <w:color w:val="auto"/>
          <w:sz w:val="21"/>
          <w:highlight w:val="none"/>
        </w:rPr>
        <w:t>根据供应商提供的</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bookmarkStart w:id="95" w:name="OLE_LINK66"/>
      <w:r>
        <w:rPr>
          <w:rFonts w:hint="eastAsia" w:hAnsi="宋体" w:cs="宋体"/>
          <w:b w:val="0"/>
          <w:bCs w:val="0"/>
          <w:color w:val="auto"/>
          <w:sz w:val="21"/>
          <w:highlight w:val="none"/>
        </w:rPr>
        <w:t>确定各供应商所属档次并打分。</w:t>
      </w:r>
      <w:bookmarkEnd w:id="95"/>
    </w:p>
    <w:p>
      <w:pPr>
        <w:pStyle w:val="23"/>
        <w:spacing w:line="440" w:lineRule="exact"/>
        <w:ind w:firstLine="420"/>
        <w:rPr>
          <w:rFonts w:hint="eastAsia" w:hAnsi="宋体" w:cs="宋体"/>
          <w:b w:val="0"/>
          <w:bCs w:val="0"/>
          <w:color w:val="auto"/>
          <w:sz w:val="21"/>
          <w:highlight w:val="none"/>
        </w:rPr>
      </w:pPr>
      <w:bookmarkStart w:id="96" w:name="OLE_LINK67"/>
      <w:r>
        <w:rPr>
          <w:rFonts w:hint="eastAsia" w:hAnsi="宋体" w:cs="宋体"/>
          <w:b w:val="0"/>
          <w:bCs w:val="0"/>
          <w:color w:val="auto"/>
          <w:sz w:val="21"/>
          <w:highlight w:val="none"/>
        </w:rPr>
        <w:t>一档（0分）：未提</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方案或提供的方案与本项目不相符；</w:t>
      </w:r>
    </w:p>
    <w:bookmarkEnd w:id="96"/>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二档（5分）：提供有</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方案，符合本项目实际情况，有较完整</w:t>
      </w:r>
      <w:r>
        <w:rPr>
          <w:rFonts w:hint="eastAsia" w:hAnsi="宋体" w:cs="宋体"/>
          <w:b w:val="0"/>
          <w:bCs w:val="0"/>
          <w:color w:val="auto"/>
          <w:sz w:val="21"/>
          <w:highlight w:val="none"/>
          <w:lang w:eastAsia="zh-CN"/>
        </w:rPr>
        <w:t>的配置流程</w:t>
      </w:r>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w:t>
      </w:r>
      <w:bookmarkStart w:id="97" w:name="OLE_LINK37"/>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bookmarkEnd w:id="97"/>
      <w:r>
        <w:rPr>
          <w:rFonts w:hint="eastAsia" w:hAnsi="宋体" w:cs="宋体"/>
          <w:b w:val="0"/>
          <w:bCs w:val="0"/>
          <w:color w:val="auto"/>
          <w:sz w:val="21"/>
          <w:highlight w:val="none"/>
        </w:rPr>
        <w:t>具体详实，</w:t>
      </w:r>
      <w:bookmarkStart w:id="98" w:name="OLE_LINK57"/>
      <w:r>
        <w:rPr>
          <w:rFonts w:hint="eastAsia" w:hAnsi="宋体" w:cs="宋体"/>
          <w:b w:val="0"/>
          <w:bCs w:val="0"/>
          <w:color w:val="auto"/>
          <w:sz w:val="21"/>
          <w:highlight w:val="none"/>
        </w:rPr>
        <w:t>对</w:t>
      </w:r>
      <w:r>
        <w:rPr>
          <w:rFonts w:hint="eastAsia" w:hAnsi="宋体" w:cs="宋体"/>
          <w:b w:val="0"/>
          <w:bCs w:val="0"/>
          <w:color w:val="auto"/>
          <w:sz w:val="21"/>
          <w:highlight w:val="none"/>
          <w:lang w:eastAsia="zh-CN"/>
        </w:rPr>
        <w:t>配置流程</w:t>
      </w:r>
      <w:r>
        <w:rPr>
          <w:rFonts w:hint="eastAsia" w:hAnsi="宋体" w:cs="宋体"/>
          <w:b w:val="0"/>
          <w:bCs w:val="0"/>
          <w:color w:val="auto"/>
          <w:sz w:val="21"/>
          <w:highlight w:val="none"/>
        </w:rPr>
        <w:t>有较详细描述</w:t>
      </w:r>
      <w:bookmarkEnd w:id="98"/>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r>
        <w:rPr>
          <w:rFonts w:hint="eastAsia" w:hAnsi="宋体" w:cs="宋体"/>
          <w:b w:val="0"/>
          <w:bCs w:val="0"/>
          <w:color w:val="auto"/>
          <w:sz w:val="21"/>
          <w:highlight w:val="none"/>
          <w:lang w:eastAsia="zh-CN"/>
        </w:rPr>
        <w:t>贴合系统实际，</w:t>
      </w:r>
      <w:bookmarkStart w:id="99" w:name="OLE_LINK58"/>
      <w:r>
        <w:rPr>
          <w:rFonts w:hint="eastAsia" w:hAnsi="宋体" w:cs="宋体"/>
          <w:b w:val="0"/>
          <w:bCs w:val="0"/>
          <w:color w:val="auto"/>
          <w:sz w:val="21"/>
          <w:highlight w:val="none"/>
          <w:lang w:eastAsia="zh-CN"/>
        </w:rPr>
        <w:t>详细描述配置流程、测试流程</w:t>
      </w:r>
      <w:bookmarkEnd w:id="99"/>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五</w:t>
      </w:r>
      <w:r>
        <w:rPr>
          <w:rFonts w:hint="eastAsia" w:hAnsi="宋体" w:cs="宋体"/>
          <w:b w:val="0"/>
          <w:bCs w:val="0"/>
          <w:color w:val="auto"/>
          <w:sz w:val="21"/>
          <w:highlight w:val="none"/>
        </w:rPr>
        <w:t>档（</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r>
        <w:rPr>
          <w:rFonts w:hint="eastAsia" w:hAnsi="宋体" w:cs="宋体"/>
          <w:b w:val="0"/>
          <w:bCs w:val="0"/>
          <w:color w:val="auto"/>
          <w:sz w:val="21"/>
          <w:highlight w:val="none"/>
          <w:lang w:eastAsia="zh-CN"/>
        </w:rPr>
        <w:t>贴合系统实际，详细描述配置流程、测试流程，有</w:t>
      </w:r>
      <w:r>
        <w:rPr>
          <w:rFonts w:hint="eastAsia" w:hAnsi="宋体" w:cs="宋体"/>
          <w:b w:val="0"/>
          <w:bCs w:val="0"/>
          <w:color w:val="auto"/>
          <w:sz w:val="21"/>
          <w:highlight w:val="none"/>
          <w:lang w:val="en-US" w:eastAsia="zh-CN"/>
        </w:rPr>
        <w:t>1—2个配置案例，</w:t>
      </w:r>
      <w:r>
        <w:rPr>
          <w:rFonts w:hint="eastAsia" w:hAnsi="宋体" w:cs="宋体"/>
          <w:b w:val="0"/>
          <w:bCs w:val="0"/>
          <w:color w:val="auto"/>
          <w:sz w:val="21"/>
          <w:highlight w:val="none"/>
          <w:lang w:eastAsia="zh-CN"/>
        </w:rPr>
        <w:t>逻辑设置</w:t>
      </w:r>
      <w:r>
        <w:rPr>
          <w:rFonts w:hint="eastAsia" w:hAnsi="宋体" w:cs="宋体"/>
          <w:b w:val="0"/>
          <w:bCs w:val="0"/>
          <w:color w:val="auto"/>
          <w:sz w:val="21"/>
          <w:highlight w:val="none"/>
        </w:rPr>
        <w:t>合理可行。</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（4）售后服务方案（满分15分）</w:t>
      </w:r>
    </w:p>
    <w:p>
      <w:pPr>
        <w:pStyle w:val="215"/>
        <w:spacing w:line="440" w:lineRule="exact"/>
        <w:ind w:firstLine="445"/>
        <w:rPr>
          <w:color w:val="auto"/>
          <w:sz w:val="21"/>
          <w:szCs w:val="21"/>
          <w:highlight w:val="none"/>
          <w:lang w:eastAsia="zh-CN"/>
        </w:rPr>
      </w:pPr>
      <w:r>
        <w:rPr>
          <w:rFonts w:hint="eastAsia" w:hAnsi="宋体" w:cs="宋体"/>
          <w:b w:val="0"/>
          <w:bCs w:val="0"/>
          <w:color w:val="auto"/>
          <w:sz w:val="21"/>
          <w:highlight w:val="none"/>
        </w:rPr>
        <w:t>由评标小组成员</w:t>
      </w:r>
      <w:r>
        <w:rPr>
          <w:rFonts w:hint="eastAsia"/>
          <w:color w:val="auto"/>
          <w:spacing w:val="12"/>
          <w:sz w:val="21"/>
          <w:szCs w:val="21"/>
          <w:highlight w:val="none"/>
          <w:lang w:eastAsia="zh-CN"/>
        </w:rPr>
        <w:t>根据供应商的</w:t>
      </w:r>
      <w:bookmarkStart w:id="100" w:name="OLE_LINK68"/>
      <w:r>
        <w:rPr>
          <w:rFonts w:hint="eastAsia"/>
          <w:color w:val="auto"/>
          <w:spacing w:val="12"/>
          <w:sz w:val="21"/>
          <w:szCs w:val="21"/>
          <w:highlight w:val="none"/>
          <w:lang w:eastAsia="zh-CN"/>
        </w:rPr>
        <w:t>售后服务方案</w:t>
      </w:r>
      <w:bookmarkEnd w:id="100"/>
      <w:bookmarkStart w:id="101" w:name="OLE_LINK70"/>
      <w:r>
        <w:rPr>
          <w:rFonts w:hint="eastAsia" w:hAnsi="宋体" w:cs="宋体"/>
          <w:b w:val="0"/>
          <w:bCs w:val="0"/>
          <w:color w:val="auto"/>
          <w:sz w:val="21"/>
          <w:highlight w:val="none"/>
        </w:rPr>
        <w:t>确定各供应商所属档次并打分。</w:t>
      </w:r>
    </w:p>
    <w:bookmarkEnd w:id="101"/>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w:t>
      </w:r>
      <w:r>
        <w:rPr>
          <w:rFonts w:hint="eastAsia"/>
          <w:color w:val="auto"/>
          <w:spacing w:val="12"/>
          <w:sz w:val="21"/>
          <w:szCs w:val="21"/>
          <w:highlight w:val="none"/>
          <w:lang w:eastAsia="zh-CN"/>
        </w:rPr>
        <w:t>售后服务方案</w:t>
      </w:r>
      <w:r>
        <w:rPr>
          <w:rFonts w:hint="eastAsia" w:hAnsi="宋体" w:cs="宋体"/>
          <w:b w:val="0"/>
          <w:bCs w:val="0"/>
          <w:color w:val="auto"/>
          <w:sz w:val="21"/>
          <w:highlight w:val="none"/>
        </w:rPr>
        <w:t>或提供的方案与本项目不相符；</w:t>
      </w:r>
    </w:p>
    <w:p>
      <w:pPr>
        <w:pStyle w:val="215"/>
        <w:spacing w:line="440" w:lineRule="exact"/>
        <w:ind w:firstLine="423"/>
        <w:rPr>
          <w:color w:val="auto"/>
          <w:sz w:val="21"/>
          <w:szCs w:val="21"/>
          <w:highlight w:val="none"/>
          <w:lang w:eastAsia="zh-CN"/>
        </w:rPr>
      </w:pPr>
      <w:r>
        <w:rPr>
          <w:rFonts w:hint="eastAsia"/>
          <w:color w:val="auto"/>
          <w:spacing w:val="8"/>
          <w:sz w:val="21"/>
          <w:szCs w:val="21"/>
          <w:highlight w:val="none"/>
          <w:lang w:eastAsia="zh-CN"/>
        </w:rPr>
        <w:t>二档（5分</w:t>
      </w:r>
      <w:r>
        <w:rPr>
          <w:rFonts w:hint="eastAsia"/>
          <w:color w:val="auto"/>
          <w:spacing w:val="16"/>
          <w:sz w:val="21"/>
          <w:szCs w:val="21"/>
          <w:highlight w:val="none"/>
          <w:lang w:eastAsia="zh-CN"/>
        </w:rPr>
        <w:t>）：</w:t>
      </w:r>
      <w:r>
        <w:rPr>
          <w:rFonts w:hint="eastAsia"/>
          <w:color w:val="auto"/>
          <w:spacing w:val="8"/>
          <w:sz w:val="21"/>
          <w:szCs w:val="21"/>
          <w:highlight w:val="none"/>
          <w:lang w:eastAsia="zh-CN"/>
        </w:rPr>
        <w:t>服务方案基本满足采购文件要求，提</w:t>
      </w:r>
      <w:r>
        <w:rPr>
          <w:rFonts w:hint="eastAsia"/>
          <w:color w:val="auto"/>
          <w:spacing w:val="7"/>
          <w:sz w:val="21"/>
          <w:szCs w:val="21"/>
          <w:highlight w:val="none"/>
          <w:lang w:eastAsia="zh-CN"/>
        </w:rPr>
        <w:t>供简单的服务质量措施和承诺，有简单的后续服务承诺，</w:t>
      </w:r>
      <w:r>
        <w:rPr>
          <w:rFonts w:hint="eastAsia"/>
          <w:color w:val="auto"/>
          <w:spacing w:val="9"/>
          <w:sz w:val="21"/>
          <w:szCs w:val="21"/>
          <w:highlight w:val="none"/>
          <w:lang w:eastAsia="zh-CN"/>
        </w:rPr>
        <w:t>服务机构体系和保障措施简单，基本满足项目需求。</w:t>
      </w:r>
    </w:p>
    <w:p>
      <w:pPr>
        <w:pStyle w:val="215"/>
        <w:spacing w:line="440" w:lineRule="exact"/>
        <w:ind w:firstLine="423"/>
        <w:rPr>
          <w:color w:val="auto"/>
          <w:sz w:val="21"/>
          <w:szCs w:val="21"/>
          <w:highlight w:val="none"/>
          <w:lang w:eastAsia="zh-CN"/>
        </w:rPr>
      </w:pPr>
      <w:r>
        <w:rPr>
          <w:rFonts w:hint="eastAsia"/>
          <w:color w:val="auto"/>
          <w:spacing w:val="8"/>
          <w:sz w:val="21"/>
          <w:szCs w:val="21"/>
          <w:highlight w:val="none"/>
          <w:lang w:eastAsia="zh-CN"/>
        </w:rPr>
        <w:t>三档（10分</w:t>
      </w:r>
      <w:r>
        <w:rPr>
          <w:rFonts w:hint="eastAsia"/>
          <w:color w:val="auto"/>
          <w:spacing w:val="16"/>
          <w:sz w:val="21"/>
          <w:szCs w:val="21"/>
          <w:highlight w:val="none"/>
          <w:lang w:eastAsia="zh-CN"/>
        </w:rPr>
        <w:t>）：</w:t>
      </w:r>
      <w:r>
        <w:rPr>
          <w:rFonts w:hint="eastAsia"/>
          <w:color w:val="auto"/>
          <w:spacing w:val="8"/>
          <w:sz w:val="21"/>
          <w:szCs w:val="21"/>
          <w:highlight w:val="none"/>
          <w:lang w:eastAsia="zh-CN"/>
        </w:rPr>
        <w:t>服务方案完全满足采购文件要求，提</w:t>
      </w:r>
      <w:r>
        <w:rPr>
          <w:rFonts w:hint="eastAsia"/>
          <w:color w:val="auto"/>
          <w:spacing w:val="7"/>
          <w:sz w:val="21"/>
          <w:szCs w:val="21"/>
          <w:highlight w:val="none"/>
          <w:lang w:eastAsia="zh-CN"/>
        </w:rPr>
        <w:t>供详细的服务质量措施和承诺，有详细的后续服务承诺，</w:t>
      </w:r>
      <w:r>
        <w:rPr>
          <w:rFonts w:hint="eastAsia"/>
          <w:color w:val="auto"/>
          <w:spacing w:val="8"/>
          <w:sz w:val="21"/>
          <w:szCs w:val="21"/>
          <w:highlight w:val="none"/>
          <w:lang w:eastAsia="zh-CN"/>
        </w:rPr>
        <w:t>服务机构体系和保障措施具体、基本可行。</w:t>
      </w:r>
    </w:p>
    <w:p>
      <w:pPr>
        <w:pStyle w:val="23"/>
        <w:spacing w:line="440" w:lineRule="exact"/>
        <w:ind w:firstLine="420"/>
        <w:rPr>
          <w:rFonts w:hAnsi="宋体" w:cs="宋体"/>
          <w:color w:val="auto"/>
          <w:sz w:val="21"/>
          <w:highlight w:val="none"/>
        </w:rPr>
      </w:pPr>
      <w:r>
        <w:rPr>
          <w:rFonts w:hint="eastAsia" w:hAnsi="宋体" w:cs="宋体"/>
          <w:color w:val="auto"/>
          <w:spacing w:val="4"/>
          <w:sz w:val="21"/>
          <w:highlight w:val="none"/>
          <w:lang w:eastAsia="zh-CN"/>
        </w:rPr>
        <w:t>四</w:t>
      </w:r>
      <w:r>
        <w:rPr>
          <w:rFonts w:hint="eastAsia" w:hAnsi="宋体" w:cs="宋体"/>
          <w:color w:val="auto"/>
          <w:spacing w:val="4"/>
          <w:sz w:val="21"/>
          <w:highlight w:val="none"/>
        </w:rPr>
        <w:t>档（15分</w:t>
      </w:r>
      <w:r>
        <w:rPr>
          <w:rFonts w:hint="eastAsia" w:hAnsi="宋体" w:cs="宋体"/>
          <w:color w:val="auto"/>
          <w:spacing w:val="5"/>
          <w:sz w:val="21"/>
          <w:highlight w:val="none"/>
        </w:rPr>
        <w:t>）：</w:t>
      </w:r>
      <w:r>
        <w:rPr>
          <w:rFonts w:hint="eastAsia" w:hAnsi="宋体" w:cs="宋体"/>
          <w:color w:val="auto"/>
          <w:spacing w:val="4"/>
          <w:sz w:val="21"/>
          <w:highlight w:val="none"/>
        </w:rPr>
        <w:t>服务方案完善可行，目标明确，内</w:t>
      </w:r>
      <w:r>
        <w:rPr>
          <w:rFonts w:hint="eastAsia" w:hAnsi="宋体" w:cs="宋体"/>
          <w:color w:val="auto"/>
          <w:spacing w:val="13"/>
          <w:sz w:val="21"/>
          <w:highlight w:val="none"/>
        </w:rPr>
        <w:t>容全面、措施得力，有优于采购文件要求的内容，能提供完善、可行、有针对性的服务质量措施和承诺，有详</w:t>
      </w:r>
      <w:r>
        <w:rPr>
          <w:rFonts w:hint="eastAsia" w:hAnsi="宋体" w:cs="宋体"/>
          <w:color w:val="auto"/>
          <w:spacing w:val="7"/>
          <w:sz w:val="21"/>
          <w:highlight w:val="none"/>
        </w:rPr>
        <w:t>细完善的后续服务承诺，服务机构体系和保障措施完善、可行合理，对本项目的实际后续服务保障工作切实有效，</w:t>
      </w:r>
      <w:r>
        <w:rPr>
          <w:rFonts w:hint="eastAsia" w:hAnsi="宋体" w:cs="宋体"/>
          <w:color w:val="auto"/>
          <w:spacing w:val="5"/>
          <w:sz w:val="21"/>
          <w:highlight w:val="none"/>
        </w:rPr>
        <w:t>有针对性</w:t>
      </w:r>
      <w:r>
        <w:rPr>
          <w:rFonts w:hint="eastAsia" w:hAnsi="宋体" w:cs="宋体"/>
          <w:color w:val="auto"/>
          <w:sz w:val="21"/>
          <w:highlight w:val="none"/>
        </w:rPr>
        <w:t>。</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3、商务分………………………………………………………………………………15分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1</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b w:val="0"/>
          <w:bCs w:val="0"/>
          <w:color w:val="auto"/>
          <w:sz w:val="21"/>
          <w:highlight w:val="none"/>
        </w:rPr>
        <w:t>以来具有同类业绩材料，每有一项得</w:t>
      </w:r>
      <w:r>
        <w:rPr>
          <w:rFonts w:hint="eastAsia" w:hAnsi="宋体" w:cs="宋体"/>
          <w:b w:val="0"/>
          <w:bCs w:val="0"/>
          <w:color w:val="auto"/>
          <w:sz w:val="21"/>
          <w:highlight w:val="none"/>
          <w:lang w:val="en-US" w:eastAsia="zh-CN"/>
        </w:rPr>
        <w:t>2</w:t>
      </w:r>
      <w:r>
        <w:rPr>
          <w:rFonts w:hint="eastAsia" w:hAnsi="宋体" w:cs="宋体"/>
          <w:b w:val="0"/>
          <w:bCs w:val="0"/>
          <w:color w:val="auto"/>
          <w:sz w:val="21"/>
          <w:highlight w:val="none"/>
        </w:rPr>
        <w:t>分，满分</w:t>
      </w:r>
      <w:r>
        <w:rPr>
          <w:rFonts w:hint="eastAsia" w:hAnsi="宋体" w:cs="宋体"/>
          <w:b w:val="0"/>
          <w:bCs w:val="0"/>
          <w:color w:val="auto"/>
          <w:sz w:val="21"/>
          <w:highlight w:val="none"/>
          <w:lang w:val="en-US" w:eastAsia="zh-CN"/>
        </w:rPr>
        <w:t>6</w:t>
      </w:r>
      <w:r>
        <w:rPr>
          <w:rFonts w:hint="eastAsia" w:hAnsi="宋体" w:cs="宋体"/>
          <w:b w:val="0"/>
          <w:bCs w:val="0"/>
          <w:color w:val="auto"/>
          <w:sz w:val="21"/>
          <w:highlight w:val="none"/>
        </w:rPr>
        <w:t>分。（以开具发票或者中标（成交）通知书或合同复印件为准，并加盖供应商公章。）</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2</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供应商具备ISO14001环境管理体系认证证书、ISO9001质量管理体系认证证书，每个认证证书得1分，满分2分。（需在响应文件中提供有效证书复印件，不提供，不得分）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3</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供应商具备ITSS运行维护服务能力成熟度模型证书，一级证书得3分，二级证书得2分，三级证书得1分，满分3分。（需在响应文件中提供有效证书复印件，不提供，不得分）。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4</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供应商具备ITSS云服务IAAS、SAAS能力标准评估证书，每项评估证书三级证书得1分，二级及以上证书得2分，满分4分。（需在响应文件中提供有效证书复印件，不提供，不得分）。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bookmarkEnd w:id="89"/>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bookmarkEnd w:id="90"/>
    <w:bookmarkEnd w:id="91"/>
    <w:p>
      <w:pPr>
        <w:pStyle w:val="5"/>
        <w:spacing w:before="0" w:after="0" w:line="440" w:lineRule="exact"/>
        <w:jc w:val="center"/>
        <w:rPr>
          <w:rFonts w:ascii="宋体" w:hAnsi="宋体" w:eastAsia="宋体" w:cs="宋体"/>
          <w:color w:val="auto"/>
          <w:kern w:val="0"/>
          <w:sz w:val="28"/>
          <w:szCs w:val="28"/>
          <w:highlight w:val="none"/>
        </w:rPr>
      </w:pPr>
      <w:bookmarkStart w:id="102" w:name="OLE_LINK56"/>
      <w:bookmarkStart w:id="103" w:name="OLE_LINK60"/>
      <w:r>
        <w:rPr>
          <w:rFonts w:hint="eastAsia" w:ascii="宋体" w:hAnsi="宋体" w:eastAsia="宋体" w:cs="宋体"/>
          <w:color w:val="auto"/>
          <w:kern w:val="0"/>
          <w:sz w:val="28"/>
          <w:szCs w:val="28"/>
          <w:highlight w:val="none"/>
        </w:rPr>
        <w:t>标项五（广西农业自然灾害预警监控系统运维服务）适用</w:t>
      </w:r>
    </w:p>
    <w:p>
      <w:pPr>
        <w:pStyle w:val="23"/>
        <w:spacing w:line="440" w:lineRule="exact"/>
        <w:ind w:firstLine="420"/>
        <w:rPr>
          <w:rFonts w:hAnsi="宋体" w:cs="宋体"/>
          <w:b/>
          <w:bCs/>
          <w:color w:val="auto"/>
          <w:sz w:val="21"/>
          <w:highlight w:val="none"/>
        </w:rPr>
      </w:pPr>
      <w:bookmarkStart w:id="104" w:name="OLE_LINK71"/>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w:t>
      </w:r>
      <w:r>
        <w:rPr>
          <w:rFonts w:hint="eastAsia" w:hAnsi="宋体" w:cs="宋体"/>
          <w:color w:val="auto"/>
          <w:sz w:val="21"/>
          <w:highlight w:val="none"/>
          <w:lang w:eastAsia="zh-CN"/>
        </w:rPr>
        <w:t>小微</w:t>
      </w:r>
      <w:r>
        <w:rPr>
          <w:rFonts w:hint="eastAsia" w:hAnsi="宋体" w:cs="宋体"/>
          <w:color w:val="auto"/>
          <w:sz w:val="21"/>
          <w:highlight w:val="none"/>
        </w:rPr>
        <w:t>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84</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bookmarkStart w:id="105" w:name="OLE_LINK74"/>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(2)运维服务方案分（满分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lang w:eastAsia="zh-CN"/>
        </w:rPr>
      </w:pPr>
      <w:bookmarkStart w:id="106" w:name="OLE_LINK38"/>
      <w:r>
        <w:rPr>
          <w:rFonts w:hint="eastAsia" w:hAnsi="宋体" w:cs="宋体"/>
          <w:b w:val="0"/>
          <w:bCs w:val="0"/>
          <w:color w:val="auto"/>
          <w:sz w:val="21"/>
          <w:highlight w:val="none"/>
        </w:rPr>
        <w:t>由评标小组成员根据供应商提供的运维服务方案确定各供应商所属档次并打分</w:t>
      </w:r>
      <w:r>
        <w:rPr>
          <w:rFonts w:hint="eastAsia" w:cs="宋体"/>
          <w:b w:val="0"/>
          <w:bCs w:val="0"/>
          <w:color w:val="auto"/>
          <w:sz w:val="21"/>
          <w:highlight w:val="none"/>
          <w:lang w:eastAsia="zh-CN"/>
        </w:rPr>
        <w:t>。</w:t>
      </w:r>
    </w:p>
    <w:bookmarkEnd w:id="106"/>
    <w:p>
      <w:pPr>
        <w:pStyle w:val="23"/>
        <w:spacing w:line="440" w:lineRule="exact"/>
        <w:ind w:firstLine="420"/>
        <w:rPr>
          <w:rFonts w:hint="eastAsia" w:hAnsi="宋体" w:cs="宋体"/>
          <w:b w:val="0"/>
          <w:bCs w:val="0"/>
          <w:color w:val="auto"/>
          <w:sz w:val="21"/>
          <w:highlight w:val="none"/>
        </w:rPr>
      </w:pPr>
      <w:bookmarkStart w:id="107" w:name="OLE_LINK39"/>
      <w:r>
        <w:rPr>
          <w:rFonts w:hint="eastAsia" w:hAnsi="宋体" w:cs="宋体"/>
          <w:b w:val="0"/>
          <w:bCs w:val="0"/>
          <w:color w:val="auto"/>
          <w:sz w:val="21"/>
          <w:highlight w:val="none"/>
        </w:rPr>
        <w:t>一档（0分）：未提供运维服务方案或提供的方案与本项目不相符；</w:t>
      </w:r>
    </w:p>
    <w:bookmarkEnd w:id="107"/>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w:t>
      </w:r>
      <w:r>
        <w:rPr>
          <w:rFonts w:hint="eastAsia" w:hAnsi="宋体" w:cs="宋体"/>
          <w:b w:val="0"/>
          <w:bCs w:val="0"/>
          <w:color w:val="auto"/>
          <w:sz w:val="21"/>
          <w:highlight w:val="none"/>
          <w:lang w:eastAsia="zh-CN"/>
        </w:rPr>
        <w:t>5</w:t>
      </w:r>
      <w:r>
        <w:rPr>
          <w:rFonts w:hint="eastAsia" w:hAnsi="宋体" w:cs="宋体"/>
          <w:b w:val="0"/>
          <w:bCs w:val="0"/>
          <w:color w:val="auto"/>
          <w:sz w:val="21"/>
          <w:highlight w:val="none"/>
        </w:rPr>
        <w:t>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3</w:t>
      </w:r>
      <w:r>
        <w:rPr>
          <w:rFonts w:hint="eastAsia" w:hAnsi="宋体" w:cs="宋体"/>
          <w:b/>
          <w:bCs/>
          <w:color w:val="auto"/>
          <w:sz w:val="21"/>
          <w:highlight w:val="none"/>
        </w:rPr>
        <w:t>）售后服务（满分</w:t>
      </w:r>
      <w:r>
        <w:rPr>
          <w:rFonts w:hint="eastAsia" w:hAnsi="宋体" w:cs="宋体"/>
          <w:b/>
          <w:bCs/>
          <w:color w:val="auto"/>
          <w:sz w:val="21"/>
          <w:highlight w:val="none"/>
          <w:lang w:val="en-US" w:eastAsia="zh-CN"/>
        </w:rPr>
        <w:t>24</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w:t>
      </w:r>
      <w:r>
        <w:rPr>
          <w:rFonts w:hint="eastAsia" w:hAnsi="宋体" w:cs="宋体"/>
          <w:b w:val="0"/>
          <w:bCs w:val="0"/>
          <w:color w:val="auto"/>
          <w:sz w:val="21"/>
          <w:highlight w:val="none"/>
          <w:lang w:eastAsia="zh-CN"/>
        </w:rPr>
        <w:t>售后</w:t>
      </w:r>
      <w:r>
        <w:rPr>
          <w:rFonts w:hint="eastAsia" w:hAnsi="宋体" w:cs="宋体"/>
          <w:b w:val="0"/>
          <w:bCs w:val="0"/>
          <w:color w:val="auto"/>
          <w:sz w:val="21"/>
          <w:highlight w:val="none"/>
        </w:rPr>
        <w:t>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w:t>
      </w:r>
      <w:r>
        <w:rPr>
          <w:rFonts w:hint="eastAsia" w:hAnsi="宋体" w:cs="宋体"/>
          <w:b w:val="0"/>
          <w:bCs w:val="0"/>
          <w:color w:val="auto"/>
          <w:sz w:val="21"/>
          <w:highlight w:val="none"/>
          <w:lang w:eastAsia="zh-CN"/>
        </w:rPr>
        <w:t>售后服务</w:t>
      </w:r>
      <w:r>
        <w:rPr>
          <w:rFonts w:hint="eastAsia" w:hAnsi="宋体" w:cs="宋体"/>
          <w:b w:val="0"/>
          <w:bCs w:val="0"/>
          <w:color w:val="auto"/>
          <w:sz w:val="21"/>
          <w:highlight w:val="none"/>
        </w:rPr>
        <w:t>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8</w:t>
      </w:r>
      <w:r>
        <w:rPr>
          <w:rFonts w:hint="eastAsia" w:hAnsi="宋体" w:cs="宋体"/>
          <w:color w:val="auto"/>
          <w:sz w:val="21"/>
          <w:highlight w:val="none"/>
        </w:rPr>
        <w:t>分）：服务方案包含有项目售后服务维护，但方案较为简单，缺乏针对性。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16</w:t>
      </w:r>
      <w:r>
        <w:rPr>
          <w:rFonts w:hint="eastAsia" w:hAnsi="宋体" w:cs="宋体"/>
          <w:color w:val="auto"/>
          <w:sz w:val="21"/>
          <w:highlight w:val="none"/>
        </w:rPr>
        <w:t>分）：方案包含有项目服务维护、保密承诺及廉洁承诺等，且描述了项目维护的方法以及实现方式，方案合理可行，具有针对性。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24</w:t>
      </w:r>
      <w:r>
        <w:rPr>
          <w:rFonts w:hint="eastAsia" w:hAnsi="宋体" w:cs="宋体"/>
          <w:color w:val="auto"/>
          <w:sz w:val="21"/>
          <w:highlight w:val="none"/>
        </w:rPr>
        <w:t>分）：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6</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3</w:t>
      </w:r>
      <w:r>
        <w:rPr>
          <w:rFonts w:hint="eastAsia" w:hAnsi="宋体" w:cs="宋体"/>
          <w:color w:val="auto"/>
          <w:sz w:val="21"/>
          <w:highlight w:val="none"/>
        </w:rPr>
        <w:t>分，满分</w:t>
      </w:r>
      <w:r>
        <w:rPr>
          <w:rFonts w:hint="eastAsia" w:hAnsi="宋体" w:cs="宋体"/>
          <w:color w:val="auto"/>
          <w:sz w:val="21"/>
          <w:highlight w:val="none"/>
          <w:lang w:val="en-US" w:eastAsia="zh-CN"/>
        </w:rPr>
        <w:t>6</w:t>
      </w:r>
      <w:r>
        <w:rPr>
          <w:rFonts w:hint="eastAsia" w:hAnsi="宋体" w:cs="宋体"/>
          <w:color w:val="auto"/>
          <w:sz w:val="21"/>
          <w:highlight w:val="none"/>
        </w:rPr>
        <w:t>分。（以开具发票或者中标（成交）通知书或合同复印件为准，并加盖供应商公章。）</w:t>
      </w:r>
    </w:p>
    <w:bookmarkEnd w:id="105"/>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bookmarkEnd w:id="102"/>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sectPr>
          <w:headerReference r:id="rId14" w:type="default"/>
          <w:footerReference r:id="rId15" w:type="default"/>
          <w:pgSz w:w="11906" w:h="16838"/>
          <w:pgMar w:top="1134" w:right="1247" w:bottom="1134" w:left="1247" w:header="851" w:footer="1310" w:gutter="0"/>
          <w:cols w:space="720" w:num="1"/>
          <w:docGrid w:linePitch="312" w:charSpace="0"/>
        </w:sect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bookmarkEnd w:id="103"/>
    <w:bookmarkEnd w:id="104"/>
    <w:p>
      <w:pPr>
        <w:pStyle w:val="5"/>
        <w:spacing w:before="0" w:after="0"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标项六（</w:t>
      </w:r>
      <w:r>
        <w:rPr>
          <w:rFonts w:hint="eastAsia" w:ascii="宋体" w:hAnsi="宋体" w:eastAsia="宋体" w:cs="宋体"/>
          <w:color w:val="auto"/>
          <w:kern w:val="0"/>
          <w:sz w:val="28"/>
          <w:szCs w:val="28"/>
          <w:highlight w:val="none"/>
          <w:lang w:eastAsia="zh-CN"/>
        </w:rPr>
        <w:t>广西壮族自治区</w:t>
      </w:r>
      <w:r>
        <w:rPr>
          <w:rFonts w:hint="eastAsia" w:ascii="宋体" w:hAnsi="宋体" w:eastAsia="宋体" w:cs="宋体"/>
          <w:color w:val="auto"/>
          <w:kern w:val="0"/>
          <w:sz w:val="28"/>
          <w:szCs w:val="28"/>
          <w:highlight w:val="none"/>
        </w:rPr>
        <w:t>粮食生产功能区管理平台运维服务（2025年度））适用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2、技术分………………………………………………………………………………………66分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(1)需求理解（满分12分）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由磋商小组在打分前根据各供应商提供的需求理解确定供应商所属档次及分值，达不到一档不得分。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一档（4分）：供应商对采购需求有基本的理解，简单描述了项目建设背景、建设目标等，有方案描述，有一定的逻辑连贯性。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二档（8分）：供应商对采购需求理解较为透彻，提供整体项目建设背景、建设目标等，方案内容较完整、结构较清晰、层次较分明、逻辑较连贯。</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12分）：符合二档的要求，且供应商对能对项目建设现状（包括信息化基础情况、历年项目实施情况）、建设必要性、软件维护需求、数据更新及管理需求、软件升级需求进行详细分析阐述，方案内容完整、结构清晰、层次分明、逻辑连贯。</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(2)设计方案分（满分18分）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由磋商小组在打分前根据各供应商提供的设计方案确定供应商所属档次及分值，达不到一档不得分。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一档（6分）：供应商能提供基本的总体设计方案，包含技术路线、技术方法等内容，整体基本连贯。</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二档（12分）：符合一档的要求，且供应商能提供的总体设计方案包含系统运维的应急措施等内容，整体设计合理、方案完整、结构清晰。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18分）：符合二档的要求，且供应商能提供详细的总体设计方案，包括总体思路、建设原则、数据架构、物理场所环境等，设计思路可行且具先进性、创新性，符合总体项目建设需求。技术路线、数据架构合理、采用的技术先进、设计完整、系统实用、规范、易用、具有可行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(3)平台运维方案（满分15分）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由磋商小组在打分前根据各供应商提供的软件升级方案确定供应商所属档次及分值，达不到一档不得分。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一档（5分）：供应商提供的运维方案提及关于日常运维工作流程、安全加固的措施等基本内容，但没有提及数据库备份存储、数据备份还原方案等方面内容。</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二档（10分）：满足一档的基础上，供应商提供的运维方案还能包含日常运维巡检、故障处理的方案描述。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三档（15分）：满足二档功能设计要求，供应商提供的运维方案具有规范的日常运维巡检、故障处理、安全加固、版本更新等运维流程，且数据备份还原方案可行性高。</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（4）数据更新方案（满分15分）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由磋商小组在打分前根据各供应商提供的数据更新方案确定供应商所属档次及分值，达不到一档不得分。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一档（5分）：供应商能提供粮食功能区数据的更新方案具有可行性。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二档（10分）：满足一档数据更新方案需求，且方案内容需要描述清楚数据更新和入库到系统的过程。</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三档（15分）：满足二档数据更新方案需求，且数据更新方案包含了不同年份的数据管理内容，方案内容规范、较为详细，可行性强。</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（5）售后服务方案（满分6分）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由磋商小组根据供应商的售后服务方案确定各供应商所属档次及得分。达不到一档要求或不提供的得0分。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一档（2分）：服务方案基本满足采购文件要求，提供简单的服务质量措施和承诺，有简单的后续服务承诺，服务机构体系和保障措施简单，基本满足项目需求。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二档（4分）：服务方案完全满足采购文件要求，提供详细的服务质量措施和承诺，有详细的后续服务承诺，服务机构体系和保障措施具体、基本可行。</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6分）：服务方案完善可行，目标明确，内容全面、措施得力，有优于采购文件要求的内容，能提供完善、可行、有针对性的服务质量措施和承诺，有详细完善的后续服务承诺，服务机构体系和保障措施完善、可行合理，对本项目的实际后续服务保障工作切实有效，有针对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3、商务分………………………………………………………………………………24分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（1）信誉分（满分8分）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①供应商具备ISO9001质量管理体系认证证书的得2分；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②供应商具备ISO27001信息安全管理体系认证证书的得2分；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③供应商具备ISO20000信息技术服务管理体系认证证书的得2分；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供应商具有自主知识产权的国产GIS地理信息基础平台且该平台通过软件测评的得1分（提供自主知识产权GIS平台证明及有关软件测试报告复印件），否则不得分；自主GIS平台获得省级及以上科技进步奖的加1分，本小项满分2分。（需提供获奖证书复印件，未提供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（2）人员实力分（11分）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①拟派的项目负责人须具备正高级工程师及以上职称、信息系统项目管理师证书、注册测绘师证书得3分，缺一项扣1分。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②技术负责人具有高级系统架构设计师证书、软件设计师证书和信息安全工程师证书的得3分，缺一项扣1分。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③质量负责人具有高级工程师及以上职称、信息系统项目管理师证书和软件设计师证书的得3分，缺一项扣1分。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④项目组其他成员中具有数据库系统工程师证书的每个1分，满分2分。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（需提供有效期内的证书复印件及拟投入人员的在职证明（如社保、劳动合同等）复印件，未提供不得分，人员不能重复得分）。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（3）业绩分（5分）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val="en-US" w:eastAsia="zh-CN"/>
        </w:rPr>
        <w:t>2022年1月1日以来</w:t>
      </w:r>
      <w:r>
        <w:rPr>
          <w:rFonts w:hint="eastAsia" w:hAnsi="宋体" w:cs="宋体"/>
          <w:color w:val="auto"/>
          <w:sz w:val="21"/>
          <w:highlight w:val="none"/>
        </w:rPr>
        <w:t>供应商承担过类似项目业绩，每提供一个得1分，满分5分。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注：提供有效合同复印件，合同内容能清晰反映服务名称、种类、金额，同一个项目不重复计分。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p>
    <w:p>
      <w:pPr>
        <w:pStyle w:val="5"/>
        <w:spacing w:before="0" w:after="0"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标项七（网络安全等级保护测评和商用密码应用安全性评估服务）适用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政府采购政策扣除：本项目为专门面向中小企业采购的项目，不再执行价格评审优惠的扶持政策，评审报价＝竞标报价。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2、技术分………………………………………………………………………………………55分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(1)技术方案分（满分15分）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（由磋商小组依据采购需求的目标及要求，对各供应商提供的技术方案设计的合理性及完整性独立评分。）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一档（5分）：供应商提供的方案基本符合采购文件要求，测评措施较能基本满足项目要求。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提供的方案符合采购文件要求，较详细描述了项目测评实现方式，方案可行。能描述投入本项目测评的主要内容、采用的测评的标准和测评方法。有较为具体的人员结构、任务分配和进度安排，能提供质量保证措施。</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供应商提供的方案，在满足二档要求基础上，具有一定的先进性。能结合项目实际详细描述投入项目测评的主要内容、采用的测评的标准、测评设备的型号、测评方法和保密承诺。人员结构科学，任务分配妥当，进度安排合理，质量保证措施具体、合理、可操作性强。</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(2)售后服务方案（满分15分）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（由磋商小组在打分前根据供应商提供的售后服务方案确定各供应商所属档次，并在相应档次内独立打分）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一档（5分）：供应商承诺的响应时间、咨询保障服务、重要时期咨询服务、应急响应服务、文档管理咨询、售后服务方案基本完整。</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承诺的响应时间、故障咨询服务、重要时期咨询服务、应急响应服务、文档管理咨询、售后服务方案比较完整。有较为具体的故障处理咨询措施、重要时期咨询保障措施，应急服务管理方案、服务管理方案比较细致。</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在满足二档要求的基础之上，重要时期咨询保障措施针对性、可行性强，人员保障预案、资源协调预案考虑周到、全面，应急服务管理方案、服务管理方案细致、具体，提供的售后服务方案规范性及标准化程度较高。</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(3)人员配置分（满分15分）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由磋商小组在打分前根据供应商提供的团队人员确定各供应商所属档次及得分，达不到一档要求或不提供的得0分。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一档（5分）：供应商承诺为本项目投入5人以上（含5人）的技术服务队伍，服务团队至少包括商用密码应用安全性评估人员测评能力考核（合格）2人，CISP注册信息安全专业人员2人。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承诺为本项目投入8人以上（含8人）的技术服务队伍，服务团队中至少包含商用密码应用安全性评估人员测评能力考核（合格）3人，CISP注册信息安全专业人员3人，CISAW信息安全保障人员(风险管理)1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供应商承诺为本项目投入13人以上（含13人）的技术服务队伍，服务团队中至少包商用密码应用安全性评估人员测评能力考核（合格）4人，CISP注册信息安全专业人员4人，CISAW信息安全保障人员(风险管理)2人，国家认证认可监督管理委员会认证认可技术研究所的CCAI证书2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注：上述人员需在响应文件中提供证书复印件并加盖公章，否则不予计分。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（4）项目经理配置分（满分10分）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供应商为本项目配备的项目经理需具备信息/网络安全等级测评师证书（高级），同时持有以下资质证书：（每提供一份得2分，满分10分）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①网络安全能力认证证书；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②国家重大活动网络安全保卫技术支持先进个人证书；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③注册信息安全专业人员证书（CISP）；</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④原创漏洞证明；</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⑤省级及以上政府人事部门颁发的中级或以上职称证书。</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3、商务分………………………………………………………………………………35分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（1）供应商具备在有效期内的ISO9001质量管理体系认证证书、ISO45001职业健康安全管理体系认证证书、ISO27001信息安全管理体系认证证书、ISO20000信息技术服务管理体系认证证书，每提供一份得4分；（满分16分）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（2）供应商具有国家信息安全漏洞库CNNVDD技术支撑单位等级证书，得4分；（满分4分）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（3）供应商具有中国合格评定国家认可委员会检验机构认可证书（CNAS）得4分；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（4）供应商具有信息安全风险评估服务资质证书的得4分；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（5）供应商自2022年1月1日至今，每有一个三级信息系统等保测评或者商密评估相关案例得1分，最多得7分。（提供相关合同复印件或授权书加盖供应商公章）</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注：以上资质或资格证书需加盖供应商公章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pStyle w:val="40"/>
        <w:spacing w:after="0" w:line="440" w:lineRule="exact"/>
        <w:ind w:left="0" w:leftChars="0"/>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sectPr>
      <w:pgSz w:w="11906" w:h="16838"/>
      <w:pgMar w:top="1134" w:right="1247" w:bottom="1134" w:left="1247" w:header="851" w:footer="13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17</w: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w:t>
    </w:r>
    <w:r>
      <w:fldChar w:fldCharType="end"/>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17</w:t>
    </w:r>
  </w:p>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5919A"/>
    <w:multiLevelType w:val="singleLevel"/>
    <w:tmpl w:val="D7E5919A"/>
    <w:lvl w:ilvl="0" w:tentative="0">
      <w:start w:val="1"/>
      <w:numFmt w:val="decimal"/>
      <w:suff w:val="nothing"/>
      <w:lvlText w:val="%1、"/>
      <w:lvlJc w:val="left"/>
    </w:lvl>
  </w:abstractNum>
  <w:abstractNum w:abstractNumId="1">
    <w:nsid w:val="785048E6"/>
    <w:multiLevelType w:val="singleLevel"/>
    <w:tmpl w:val="78504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GViMDY1ZmIyNjE1ZGVhNDVhOWMyNmE3MjU4MmEifQ=="/>
    <w:docVar w:name="KSO_WPS_MARK_KEY" w:val="2a0489cf-a869-4ecf-81ec-ac97af0ac8d4"/>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E7901"/>
    <w:rsid w:val="000F0388"/>
    <w:rsid w:val="000F46D6"/>
    <w:rsid w:val="000F6D52"/>
    <w:rsid w:val="00102F6B"/>
    <w:rsid w:val="0010453E"/>
    <w:rsid w:val="0011098A"/>
    <w:rsid w:val="00111AF2"/>
    <w:rsid w:val="00114092"/>
    <w:rsid w:val="00114D6A"/>
    <w:rsid w:val="00115FEF"/>
    <w:rsid w:val="001318DA"/>
    <w:rsid w:val="001324F1"/>
    <w:rsid w:val="001335D8"/>
    <w:rsid w:val="0014576F"/>
    <w:rsid w:val="00152934"/>
    <w:rsid w:val="00172A27"/>
    <w:rsid w:val="001771ED"/>
    <w:rsid w:val="00184CD3"/>
    <w:rsid w:val="00187384"/>
    <w:rsid w:val="00192CF5"/>
    <w:rsid w:val="00197A96"/>
    <w:rsid w:val="001A22E8"/>
    <w:rsid w:val="001A25E3"/>
    <w:rsid w:val="001A681E"/>
    <w:rsid w:val="001B2B72"/>
    <w:rsid w:val="001B2F7C"/>
    <w:rsid w:val="001B7405"/>
    <w:rsid w:val="001C1F14"/>
    <w:rsid w:val="001C7C61"/>
    <w:rsid w:val="001D5246"/>
    <w:rsid w:val="001E73BE"/>
    <w:rsid w:val="00200139"/>
    <w:rsid w:val="002144F0"/>
    <w:rsid w:val="0023030D"/>
    <w:rsid w:val="00236F5B"/>
    <w:rsid w:val="0024402E"/>
    <w:rsid w:val="00250C35"/>
    <w:rsid w:val="0025799C"/>
    <w:rsid w:val="002664CA"/>
    <w:rsid w:val="00266C78"/>
    <w:rsid w:val="002828EE"/>
    <w:rsid w:val="00282EE6"/>
    <w:rsid w:val="00284181"/>
    <w:rsid w:val="00286316"/>
    <w:rsid w:val="00290ABF"/>
    <w:rsid w:val="002A0B70"/>
    <w:rsid w:val="002C1E03"/>
    <w:rsid w:val="002D4643"/>
    <w:rsid w:val="002E0745"/>
    <w:rsid w:val="002E2998"/>
    <w:rsid w:val="002F035C"/>
    <w:rsid w:val="002F1CE1"/>
    <w:rsid w:val="002F4EB4"/>
    <w:rsid w:val="002F524C"/>
    <w:rsid w:val="002F5959"/>
    <w:rsid w:val="002F7395"/>
    <w:rsid w:val="0032415A"/>
    <w:rsid w:val="00330926"/>
    <w:rsid w:val="00330E48"/>
    <w:rsid w:val="0033133C"/>
    <w:rsid w:val="00350B58"/>
    <w:rsid w:val="00354790"/>
    <w:rsid w:val="00363580"/>
    <w:rsid w:val="00374A13"/>
    <w:rsid w:val="003759F0"/>
    <w:rsid w:val="00376E31"/>
    <w:rsid w:val="003927CF"/>
    <w:rsid w:val="00393BED"/>
    <w:rsid w:val="003A67E8"/>
    <w:rsid w:val="003A78D2"/>
    <w:rsid w:val="003B74DD"/>
    <w:rsid w:val="003B7FF9"/>
    <w:rsid w:val="003C7AD6"/>
    <w:rsid w:val="003D69B4"/>
    <w:rsid w:val="003E2F67"/>
    <w:rsid w:val="003E346C"/>
    <w:rsid w:val="003E4FF9"/>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286"/>
    <w:rsid w:val="00457799"/>
    <w:rsid w:val="004646A8"/>
    <w:rsid w:val="0046526E"/>
    <w:rsid w:val="0047262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4736B"/>
    <w:rsid w:val="00551237"/>
    <w:rsid w:val="00556601"/>
    <w:rsid w:val="00557C30"/>
    <w:rsid w:val="00562ABC"/>
    <w:rsid w:val="00565011"/>
    <w:rsid w:val="005674DD"/>
    <w:rsid w:val="00572E67"/>
    <w:rsid w:val="005752A1"/>
    <w:rsid w:val="005808D1"/>
    <w:rsid w:val="00584495"/>
    <w:rsid w:val="005933B0"/>
    <w:rsid w:val="005B36C7"/>
    <w:rsid w:val="005B3CA7"/>
    <w:rsid w:val="005D1E87"/>
    <w:rsid w:val="005D26AC"/>
    <w:rsid w:val="005E0AC0"/>
    <w:rsid w:val="005E0F69"/>
    <w:rsid w:val="005E266D"/>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37A1"/>
    <w:rsid w:val="006446AB"/>
    <w:rsid w:val="0064641B"/>
    <w:rsid w:val="006468D9"/>
    <w:rsid w:val="0065527C"/>
    <w:rsid w:val="00661805"/>
    <w:rsid w:val="00667BAC"/>
    <w:rsid w:val="00671F7C"/>
    <w:rsid w:val="00676E82"/>
    <w:rsid w:val="00687FBE"/>
    <w:rsid w:val="00695BF2"/>
    <w:rsid w:val="006A33F2"/>
    <w:rsid w:val="006B6976"/>
    <w:rsid w:val="006B6D24"/>
    <w:rsid w:val="006B7E19"/>
    <w:rsid w:val="006C4F1C"/>
    <w:rsid w:val="006D004D"/>
    <w:rsid w:val="006D0BE3"/>
    <w:rsid w:val="006D2E71"/>
    <w:rsid w:val="006D586C"/>
    <w:rsid w:val="006E2180"/>
    <w:rsid w:val="006E4B63"/>
    <w:rsid w:val="006F70C4"/>
    <w:rsid w:val="00711C91"/>
    <w:rsid w:val="007131B1"/>
    <w:rsid w:val="00726B55"/>
    <w:rsid w:val="00730782"/>
    <w:rsid w:val="00733E84"/>
    <w:rsid w:val="00737F70"/>
    <w:rsid w:val="007609A0"/>
    <w:rsid w:val="00762CD4"/>
    <w:rsid w:val="00775DA7"/>
    <w:rsid w:val="00781360"/>
    <w:rsid w:val="00787233"/>
    <w:rsid w:val="0079150F"/>
    <w:rsid w:val="00793A6F"/>
    <w:rsid w:val="007951FD"/>
    <w:rsid w:val="007C5EC3"/>
    <w:rsid w:val="007D2FF9"/>
    <w:rsid w:val="007D5341"/>
    <w:rsid w:val="007E13F9"/>
    <w:rsid w:val="007E4478"/>
    <w:rsid w:val="007E5553"/>
    <w:rsid w:val="007F26D3"/>
    <w:rsid w:val="007F7145"/>
    <w:rsid w:val="00800876"/>
    <w:rsid w:val="0080268F"/>
    <w:rsid w:val="0081321E"/>
    <w:rsid w:val="00814689"/>
    <w:rsid w:val="0081540E"/>
    <w:rsid w:val="008219B8"/>
    <w:rsid w:val="008277DD"/>
    <w:rsid w:val="00840C78"/>
    <w:rsid w:val="00854713"/>
    <w:rsid w:val="008552AA"/>
    <w:rsid w:val="008642A9"/>
    <w:rsid w:val="00875B64"/>
    <w:rsid w:val="00881E06"/>
    <w:rsid w:val="00882368"/>
    <w:rsid w:val="00885A16"/>
    <w:rsid w:val="0089591B"/>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5193"/>
    <w:rsid w:val="009D21C1"/>
    <w:rsid w:val="009D59BC"/>
    <w:rsid w:val="009F0AE7"/>
    <w:rsid w:val="00A01634"/>
    <w:rsid w:val="00A04DA8"/>
    <w:rsid w:val="00A115EA"/>
    <w:rsid w:val="00A152E9"/>
    <w:rsid w:val="00A42421"/>
    <w:rsid w:val="00A51634"/>
    <w:rsid w:val="00A60374"/>
    <w:rsid w:val="00A60859"/>
    <w:rsid w:val="00A623A9"/>
    <w:rsid w:val="00A722ED"/>
    <w:rsid w:val="00A85EA8"/>
    <w:rsid w:val="00AA16DB"/>
    <w:rsid w:val="00AB3DB4"/>
    <w:rsid w:val="00AB68A1"/>
    <w:rsid w:val="00AB71E4"/>
    <w:rsid w:val="00AC22EA"/>
    <w:rsid w:val="00AC29D5"/>
    <w:rsid w:val="00AC2DBC"/>
    <w:rsid w:val="00AC73B2"/>
    <w:rsid w:val="00AD0C44"/>
    <w:rsid w:val="00AD2950"/>
    <w:rsid w:val="00AD511A"/>
    <w:rsid w:val="00AD63D3"/>
    <w:rsid w:val="00AE04FE"/>
    <w:rsid w:val="00AE3544"/>
    <w:rsid w:val="00AE7A13"/>
    <w:rsid w:val="00AF4EE7"/>
    <w:rsid w:val="00B02BD7"/>
    <w:rsid w:val="00B05C39"/>
    <w:rsid w:val="00B21E79"/>
    <w:rsid w:val="00B3085B"/>
    <w:rsid w:val="00B32F6D"/>
    <w:rsid w:val="00B33824"/>
    <w:rsid w:val="00B35A99"/>
    <w:rsid w:val="00B361A5"/>
    <w:rsid w:val="00B404D3"/>
    <w:rsid w:val="00B408AC"/>
    <w:rsid w:val="00B453E2"/>
    <w:rsid w:val="00B453F5"/>
    <w:rsid w:val="00B539BF"/>
    <w:rsid w:val="00B57027"/>
    <w:rsid w:val="00B6498C"/>
    <w:rsid w:val="00B64E1F"/>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5EE6"/>
    <w:rsid w:val="00C4123B"/>
    <w:rsid w:val="00C43679"/>
    <w:rsid w:val="00C450BD"/>
    <w:rsid w:val="00C51002"/>
    <w:rsid w:val="00C7124E"/>
    <w:rsid w:val="00C763AD"/>
    <w:rsid w:val="00C77867"/>
    <w:rsid w:val="00C87EED"/>
    <w:rsid w:val="00CB0360"/>
    <w:rsid w:val="00CB6C17"/>
    <w:rsid w:val="00CC7D75"/>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5446"/>
    <w:rsid w:val="00DB6EAC"/>
    <w:rsid w:val="00DC055C"/>
    <w:rsid w:val="00DD09D7"/>
    <w:rsid w:val="00DE11B4"/>
    <w:rsid w:val="00DF0657"/>
    <w:rsid w:val="00DF3C49"/>
    <w:rsid w:val="00E0017A"/>
    <w:rsid w:val="00E00FCE"/>
    <w:rsid w:val="00E05C90"/>
    <w:rsid w:val="00E063CA"/>
    <w:rsid w:val="00E06EE6"/>
    <w:rsid w:val="00E205E7"/>
    <w:rsid w:val="00E238EE"/>
    <w:rsid w:val="00E34119"/>
    <w:rsid w:val="00E37FC3"/>
    <w:rsid w:val="00E41624"/>
    <w:rsid w:val="00E522FB"/>
    <w:rsid w:val="00E60EC9"/>
    <w:rsid w:val="00E63676"/>
    <w:rsid w:val="00E81204"/>
    <w:rsid w:val="00E9713C"/>
    <w:rsid w:val="00EA02C2"/>
    <w:rsid w:val="00EA5F28"/>
    <w:rsid w:val="00EB063D"/>
    <w:rsid w:val="00EC6161"/>
    <w:rsid w:val="00ED0A74"/>
    <w:rsid w:val="00ED1677"/>
    <w:rsid w:val="00ED20C3"/>
    <w:rsid w:val="00ED4402"/>
    <w:rsid w:val="00ED48AC"/>
    <w:rsid w:val="00EE1851"/>
    <w:rsid w:val="00EF6786"/>
    <w:rsid w:val="00F021D7"/>
    <w:rsid w:val="00F06689"/>
    <w:rsid w:val="00F10BA5"/>
    <w:rsid w:val="00F1201C"/>
    <w:rsid w:val="00F13D95"/>
    <w:rsid w:val="00F219EB"/>
    <w:rsid w:val="00F272D0"/>
    <w:rsid w:val="00F3159C"/>
    <w:rsid w:val="00F37635"/>
    <w:rsid w:val="00F37E03"/>
    <w:rsid w:val="00F463CE"/>
    <w:rsid w:val="00F47689"/>
    <w:rsid w:val="00F61E8C"/>
    <w:rsid w:val="00F65341"/>
    <w:rsid w:val="00F7046E"/>
    <w:rsid w:val="00F715B4"/>
    <w:rsid w:val="00F725BF"/>
    <w:rsid w:val="00F860E2"/>
    <w:rsid w:val="00F86A97"/>
    <w:rsid w:val="00F91299"/>
    <w:rsid w:val="00F96E38"/>
    <w:rsid w:val="00FA1224"/>
    <w:rsid w:val="00FA159A"/>
    <w:rsid w:val="00FA364F"/>
    <w:rsid w:val="00FB4608"/>
    <w:rsid w:val="00FB70EF"/>
    <w:rsid w:val="00FC49FB"/>
    <w:rsid w:val="00FD552A"/>
    <w:rsid w:val="00FD6C46"/>
    <w:rsid w:val="00FD6D32"/>
    <w:rsid w:val="00FE600C"/>
    <w:rsid w:val="00FF4075"/>
    <w:rsid w:val="00FF52C7"/>
    <w:rsid w:val="017F1002"/>
    <w:rsid w:val="018039CD"/>
    <w:rsid w:val="01A3661E"/>
    <w:rsid w:val="02352FCB"/>
    <w:rsid w:val="024A011D"/>
    <w:rsid w:val="03005BDD"/>
    <w:rsid w:val="031670D6"/>
    <w:rsid w:val="03FC10E3"/>
    <w:rsid w:val="04226DE4"/>
    <w:rsid w:val="042D3406"/>
    <w:rsid w:val="0446464E"/>
    <w:rsid w:val="04CE2C04"/>
    <w:rsid w:val="05313213"/>
    <w:rsid w:val="06086033"/>
    <w:rsid w:val="06B312BD"/>
    <w:rsid w:val="073A6A62"/>
    <w:rsid w:val="074167A2"/>
    <w:rsid w:val="075F1744"/>
    <w:rsid w:val="0778645F"/>
    <w:rsid w:val="07CF4447"/>
    <w:rsid w:val="07EF15E7"/>
    <w:rsid w:val="081E6C34"/>
    <w:rsid w:val="08A45612"/>
    <w:rsid w:val="08C01E1B"/>
    <w:rsid w:val="09433009"/>
    <w:rsid w:val="094A733A"/>
    <w:rsid w:val="0AF11100"/>
    <w:rsid w:val="0AF4333B"/>
    <w:rsid w:val="0B7D6C68"/>
    <w:rsid w:val="0BAB6169"/>
    <w:rsid w:val="0BB37D2F"/>
    <w:rsid w:val="0BD30502"/>
    <w:rsid w:val="0C0718FB"/>
    <w:rsid w:val="0C677253"/>
    <w:rsid w:val="0CAB6B8B"/>
    <w:rsid w:val="0E177B42"/>
    <w:rsid w:val="0E8C7D6A"/>
    <w:rsid w:val="0F1A4356"/>
    <w:rsid w:val="0F56037E"/>
    <w:rsid w:val="109C081A"/>
    <w:rsid w:val="10EB7F83"/>
    <w:rsid w:val="111A64A0"/>
    <w:rsid w:val="113423A2"/>
    <w:rsid w:val="114104C2"/>
    <w:rsid w:val="12492FB5"/>
    <w:rsid w:val="125A77F1"/>
    <w:rsid w:val="126855F2"/>
    <w:rsid w:val="129A7E11"/>
    <w:rsid w:val="12B94AA0"/>
    <w:rsid w:val="12CA6D88"/>
    <w:rsid w:val="12D4198A"/>
    <w:rsid w:val="12EA7371"/>
    <w:rsid w:val="134013C4"/>
    <w:rsid w:val="13551A69"/>
    <w:rsid w:val="13761F34"/>
    <w:rsid w:val="14481E06"/>
    <w:rsid w:val="158C0F75"/>
    <w:rsid w:val="15BE0D9D"/>
    <w:rsid w:val="15D117D4"/>
    <w:rsid w:val="1621637D"/>
    <w:rsid w:val="168077AB"/>
    <w:rsid w:val="16B21D45"/>
    <w:rsid w:val="16D21E3A"/>
    <w:rsid w:val="16F078A5"/>
    <w:rsid w:val="16F26BDC"/>
    <w:rsid w:val="1708097D"/>
    <w:rsid w:val="1732421A"/>
    <w:rsid w:val="17653C9A"/>
    <w:rsid w:val="17C26C63"/>
    <w:rsid w:val="180A18BE"/>
    <w:rsid w:val="180B37EA"/>
    <w:rsid w:val="18754534"/>
    <w:rsid w:val="188D4D39"/>
    <w:rsid w:val="18C01D90"/>
    <w:rsid w:val="18DD66FE"/>
    <w:rsid w:val="19277932"/>
    <w:rsid w:val="196B6A36"/>
    <w:rsid w:val="197F500A"/>
    <w:rsid w:val="19F442E3"/>
    <w:rsid w:val="1A101FC5"/>
    <w:rsid w:val="1A5775E2"/>
    <w:rsid w:val="1A9F5573"/>
    <w:rsid w:val="1AD5246F"/>
    <w:rsid w:val="1BA16F6F"/>
    <w:rsid w:val="1C1F4E67"/>
    <w:rsid w:val="1C41290C"/>
    <w:rsid w:val="1CAC2540"/>
    <w:rsid w:val="1CAD565A"/>
    <w:rsid w:val="1D1C1676"/>
    <w:rsid w:val="1D6E3BAA"/>
    <w:rsid w:val="1D8B2357"/>
    <w:rsid w:val="1DD64580"/>
    <w:rsid w:val="1E5E59F5"/>
    <w:rsid w:val="1E6C1A8F"/>
    <w:rsid w:val="1E7F5C4E"/>
    <w:rsid w:val="1E8F40C9"/>
    <w:rsid w:val="1ED80129"/>
    <w:rsid w:val="1FA036A7"/>
    <w:rsid w:val="1FA71630"/>
    <w:rsid w:val="1FAB284F"/>
    <w:rsid w:val="208731A6"/>
    <w:rsid w:val="2094600D"/>
    <w:rsid w:val="20BC2CB0"/>
    <w:rsid w:val="20EC75B1"/>
    <w:rsid w:val="20F875A5"/>
    <w:rsid w:val="21152809"/>
    <w:rsid w:val="211C2806"/>
    <w:rsid w:val="212968C1"/>
    <w:rsid w:val="21315554"/>
    <w:rsid w:val="21920807"/>
    <w:rsid w:val="21B666E7"/>
    <w:rsid w:val="220A45D5"/>
    <w:rsid w:val="225418B2"/>
    <w:rsid w:val="22BC61C2"/>
    <w:rsid w:val="22CF3229"/>
    <w:rsid w:val="23243130"/>
    <w:rsid w:val="23877D2A"/>
    <w:rsid w:val="2417445E"/>
    <w:rsid w:val="24BA280C"/>
    <w:rsid w:val="24EB703A"/>
    <w:rsid w:val="24EC3854"/>
    <w:rsid w:val="253003B0"/>
    <w:rsid w:val="25377199"/>
    <w:rsid w:val="258B0F50"/>
    <w:rsid w:val="25905E1C"/>
    <w:rsid w:val="26511DD2"/>
    <w:rsid w:val="266D4CF0"/>
    <w:rsid w:val="26D1775D"/>
    <w:rsid w:val="27565784"/>
    <w:rsid w:val="27FA543F"/>
    <w:rsid w:val="28467543"/>
    <w:rsid w:val="28475999"/>
    <w:rsid w:val="28710E21"/>
    <w:rsid w:val="287F40F1"/>
    <w:rsid w:val="2886652D"/>
    <w:rsid w:val="28D85D13"/>
    <w:rsid w:val="29894089"/>
    <w:rsid w:val="2A0E500A"/>
    <w:rsid w:val="2AAA0146"/>
    <w:rsid w:val="2AD2298B"/>
    <w:rsid w:val="2B01233C"/>
    <w:rsid w:val="2B157CAA"/>
    <w:rsid w:val="2B512CEB"/>
    <w:rsid w:val="2B812C0E"/>
    <w:rsid w:val="2BB06D6E"/>
    <w:rsid w:val="2BC96582"/>
    <w:rsid w:val="2BF07E80"/>
    <w:rsid w:val="2BF536D0"/>
    <w:rsid w:val="2BF94DA0"/>
    <w:rsid w:val="2C153BB2"/>
    <w:rsid w:val="2CCC1540"/>
    <w:rsid w:val="2CF51085"/>
    <w:rsid w:val="2D0E19FB"/>
    <w:rsid w:val="2D425435"/>
    <w:rsid w:val="2D4D65CE"/>
    <w:rsid w:val="2D653F91"/>
    <w:rsid w:val="2D6F0495"/>
    <w:rsid w:val="2D980D54"/>
    <w:rsid w:val="2DA5011B"/>
    <w:rsid w:val="2DF85CB5"/>
    <w:rsid w:val="2E2B4302"/>
    <w:rsid w:val="2E411387"/>
    <w:rsid w:val="2E7D0637"/>
    <w:rsid w:val="2E8C10FD"/>
    <w:rsid w:val="2EE846B5"/>
    <w:rsid w:val="2F3C7AFC"/>
    <w:rsid w:val="2F9015F7"/>
    <w:rsid w:val="2FA34028"/>
    <w:rsid w:val="2FB14BFA"/>
    <w:rsid w:val="30414815"/>
    <w:rsid w:val="30956DCA"/>
    <w:rsid w:val="31707F16"/>
    <w:rsid w:val="318575BE"/>
    <w:rsid w:val="31FA6041"/>
    <w:rsid w:val="32242510"/>
    <w:rsid w:val="32C75788"/>
    <w:rsid w:val="32FD7AE2"/>
    <w:rsid w:val="33002A5A"/>
    <w:rsid w:val="331F5904"/>
    <w:rsid w:val="339C0D25"/>
    <w:rsid w:val="33AF5DBD"/>
    <w:rsid w:val="33C70265"/>
    <w:rsid w:val="33DD16AF"/>
    <w:rsid w:val="344D5332"/>
    <w:rsid w:val="34596520"/>
    <w:rsid w:val="348B1723"/>
    <w:rsid w:val="34AC5B15"/>
    <w:rsid w:val="34B65BA8"/>
    <w:rsid w:val="356E0FA7"/>
    <w:rsid w:val="35897EE6"/>
    <w:rsid w:val="35A10D62"/>
    <w:rsid w:val="35BF41B7"/>
    <w:rsid w:val="35CF507F"/>
    <w:rsid w:val="35E02152"/>
    <w:rsid w:val="36212A2F"/>
    <w:rsid w:val="362D0AAC"/>
    <w:rsid w:val="364213EB"/>
    <w:rsid w:val="368A3AA0"/>
    <w:rsid w:val="369B3BBB"/>
    <w:rsid w:val="36A24866"/>
    <w:rsid w:val="37F83689"/>
    <w:rsid w:val="37F84106"/>
    <w:rsid w:val="38741B00"/>
    <w:rsid w:val="391A2AB5"/>
    <w:rsid w:val="39333B77"/>
    <w:rsid w:val="39355C2E"/>
    <w:rsid w:val="395F5EFD"/>
    <w:rsid w:val="3A3A0F35"/>
    <w:rsid w:val="3A4D0C68"/>
    <w:rsid w:val="3A962A0D"/>
    <w:rsid w:val="3B857EF5"/>
    <w:rsid w:val="3B9F72A2"/>
    <w:rsid w:val="3BF57164"/>
    <w:rsid w:val="3BF9786A"/>
    <w:rsid w:val="3C2D3BCC"/>
    <w:rsid w:val="3C2F7A2F"/>
    <w:rsid w:val="3C5854FA"/>
    <w:rsid w:val="3CA43637"/>
    <w:rsid w:val="3CB93B8B"/>
    <w:rsid w:val="3D2B3420"/>
    <w:rsid w:val="3D2E039F"/>
    <w:rsid w:val="3D697604"/>
    <w:rsid w:val="3DD746CE"/>
    <w:rsid w:val="3E0237FE"/>
    <w:rsid w:val="3E4D474F"/>
    <w:rsid w:val="3EB1187A"/>
    <w:rsid w:val="3ECD050F"/>
    <w:rsid w:val="3F635508"/>
    <w:rsid w:val="3F814DC4"/>
    <w:rsid w:val="3F942A14"/>
    <w:rsid w:val="3F9654C5"/>
    <w:rsid w:val="3FB129AA"/>
    <w:rsid w:val="3FC3035B"/>
    <w:rsid w:val="40395517"/>
    <w:rsid w:val="405C37BB"/>
    <w:rsid w:val="411822B4"/>
    <w:rsid w:val="415F5E84"/>
    <w:rsid w:val="416536D7"/>
    <w:rsid w:val="41EE7883"/>
    <w:rsid w:val="42195183"/>
    <w:rsid w:val="42AC5638"/>
    <w:rsid w:val="42D61C15"/>
    <w:rsid w:val="43DE2931"/>
    <w:rsid w:val="451D115F"/>
    <w:rsid w:val="451D54D5"/>
    <w:rsid w:val="453F34B5"/>
    <w:rsid w:val="458E4E11"/>
    <w:rsid w:val="46154283"/>
    <w:rsid w:val="4654512D"/>
    <w:rsid w:val="467E22DA"/>
    <w:rsid w:val="46BD4E02"/>
    <w:rsid w:val="47F45591"/>
    <w:rsid w:val="480D36D1"/>
    <w:rsid w:val="48834FAF"/>
    <w:rsid w:val="48EA5263"/>
    <w:rsid w:val="492E08FE"/>
    <w:rsid w:val="49463658"/>
    <w:rsid w:val="49CC7779"/>
    <w:rsid w:val="49F92C03"/>
    <w:rsid w:val="4A4A6F73"/>
    <w:rsid w:val="4A9F73F2"/>
    <w:rsid w:val="4B065F3E"/>
    <w:rsid w:val="4BA03308"/>
    <w:rsid w:val="4BE800A4"/>
    <w:rsid w:val="4CCA41E9"/>
    <w:rsid w:val="4D505D63"/>
    <w:rsid w:val="4DB276E1"/>
    <w:rsid w:val="4E05713A"/>
    <w:rsid w:val="4E064E9F"/>
    <w:rsid w:val="4E510D5E"/>
    <w:rsid w:val="4E9042A5"/>
    <w:rsid w:val="4EBD41B7"/>
    <w:rsid w:val="4EC105A5"/>
    <w:rsid w:val="4F6A193E"/>
    <w:rsid w:val="50281F8E"/>
    <w:rsid w:val="50926F7D"/>
    <w:rsid w:val="509803E1"/>
    <w:rsid w:val="50B225EC"/>
    <w:rsid w:val="51062AD6"/>
    <w:rsid w:val="511C5A4B"/>
    <w:rsid w:val="5140229F"/>
    <w:rsid w:val="51886AFA"/>
    <w:rsid w:val="51CB7009"/>
    <w:rsid w:val="51F86337"/>
    <w:rsid w:val="520854F6"/>
    <w:rsid w:val="525726F1"/>
    <w:rsid w:val="529979C0"/>
    <w:rsid w:val="52C34DF2"/>
    <w:rsid w:val="52C46295"/>
    <w:rsid w:val="52FE3879"/>
    <w:rsid w:val="53351E09"/>
    <w:rsid w:val="53C12459"/>
    <w:rsid w:val="53FB15D1"/>
    <w:rsid w:val="5459179A"/>
    <w:rsid w:val="54AB08B3"/>
    <w:rsid w:val="54AE0B6A"/>
    <w:rsid w:val="54B81A07"/>
    <w:rsid w:val="55877D4E"/>
    <w:rsid w:val="55BB0964"/>
    <w:rsid w:val="55C06351"/>
    <w:rsid w:val="55DA7F72"/>
    <w:rsid w:val="56525EF4"/>
    <w:rsid w:val="56650268"/>
    <w:rsid w:val="567A01AB"/>
    <w:rsid w:val="56B81FA2"/>
    <w:rsid w:val="576F766B"/>
    <w:rsid w:val="57B40121"/>
    <w:rsid w:val="57EB5345"/>
    <w:rsid w:val="57EE7F31"/>
    <w:rsid w:val="5872200A"/>
    <w:rsid w:val="5885761A"/>
    <w:rsid w:val="593755F3"/>
    <w:rsid w:val="59534355"/>
    <w:rsid w:val="59BD4B74"/>
    <w:rsid w:val="5A90351C"/>
    <w:rsid w:val="5ADF6F86"/>
    <w:rsid w:val="5AFA0685"/>
    <w:rsid w:val="5B0736DF"/>
    <w:rsid w:val="5B3F474C"/>
    <w:rsid w:val="5B827561"/>
    <w:rsid w:val="5BE52BC1"/>
    <w:rsid w:val="5C1F00E3"/>
    <w:rsid w:val="5C582DE4"/>
    <w:rsid w:val="5C755C8B"/>
    <w:rsid w:val="5C7E5E7E"/>
    <w:rsid w:val="5C985053"/>
    <w:rsid w:val="5CC55DD5"/>
    <w:rsid w:val="5DF60B1D"/>
    <w:rsid w:val="5E007E87"/>
    <w:rsid w:val="5E0D6E04"/>
    <w:rsid w:val="5E1C72DF"/>
    <w:rsid w:val="5E1E00A2"/>
    <w:rsid w:val="5E5E0920"/>
    <w:rsid w:val="5E6563CE"/>
    <w:rsid w:val="5E743A3E"/>
    <w:rsid w:val="5EA5614C"/>
    <w:rsid w:val="5ED03D00"/>
    <w:rsid w:val="5FCB6BB4"/>
    <w:rsid w:val="5FE0097E"/>
    <w:rsid w:val="601B5EA1"/>
    <w:rsid w:val="603253DE"/>
    <w:rsid w:val="60591AB4"/>
    <w:rsid w:val="61405198"/>
    <w:rsid w:val="615A76D5"/>
    <w:rsid w:val="61851963"/>
    <w:rsid w:val="61DB1E7F"/>
    <w:rsid w:val="623A203D"/>
    <w:rsid w:val="62A45FB5"/>
    <w:rsid w:val="62D87EFC"/>
    <w:rsid w:val="63005C83"/>
    <w:rsid w:val="63A92B04"/>
    <w:rsid w:val="64562C2A"/>
    <w:rsid w:val="64570A30"/>
    <w:rsid w:val="647F66FF"/>
    <w:rsid w:val="653E0389"/>
    <w:rsid w:val="655C47AD"/>
    <w:rsid w:val="656D2474"/>
    <w:rsid w:val="65920B3A"/>
    <w:rsid w:val="665F049D"/>
    <w:rsid w:val="670642A3"/>
    <w:rsid w:val="6739269B"/>
    <w:rsid w:val="67DC5103"/>
    <w:rsid w:val="68171689"/>
    <w:rsid w:val="68527CF8"/>
    <w:rsid w:val="68C915E9"/>
    <w:rsid w:val="692E42FC"/>
    <w:rsid w:val="69EB46B7"/>
    <w:rsid w:val="6A122FEF"/>
    <w:rsid w:val="6A31226B"/>
    <w:rsid w:val="6A4609BE"/>
    <w:rsid w:val="6A4E53A8"/>
    <w:rsid w:val="6A6448E1"/>
    <w:rsid w:val="6AA327D8"/>
    <w:rsid w:val="6BD855C8"/>
    <w:rsid w:val="6C366156"/>
    <w:rsid w:val="6C3B7778"/>
    <w:rsid w:val="6C8330C7"/>
    <w:rsid w:val="6D5E3CDA"/>
    <w:rsid w:val="6DBB644B"/>
    <w:rsid w:val="6E166FE8"/>
    <w:rsid w:val="6E4726C8"/>
    <w:rsid w:val="6E505CF5"/>
    <w:rsid w:val="6E5D6FEF"/>
    <w:rsid w:val="6E684047"/>
    <w:rsid w:val="6EB21F1C"/>
    <w:rsid w:val="6EDC78D7"/>
    <w:rsid w:val="6EDE4FCA"/>
    <w:rsid w:val="6EE96A8E"/>
    <w:rsid w:val="6F5C37C2"/>
    <w:rsid w:val="6F8D32DA"/>
    <w:rsid w:val="6FC34B45"/>
    <w:rsid w:val="6FD25E45"/>
    <w:rsid w:val="6FFC1CFD"/>
    <w:rsid w:val="708D464B"/>
    <w:rsid w:val="70F27898"/>
    <w:rsid w:val="713129D2"/>
    <w:rsid w:val="7188610C"/>
    <w:rsid w:val="72805BCB"/>
    <w:rsid w:val="73615A08"/>
    <w:rsid w:val="73D826FF"/>
    <w:rsid w:val="744A07D5"/>
    <w:rsid w:val="74813F47"/>
    <w:rsid w:val="74A62AE9"/>
    <w:rsid w:val="757374AE"/>
    <w:rsid w:val="75CA2B09"/>
    <w:rsid w:val="760A66CD"/>
    <w:rsid w:val="76576F10"/>
    <w:rsid w:val="76C863E9"/>
    <w:rsid w:val="77C30BC6"/>
    <w:rsid w:val="77C8624F"/>
    <w:rsid w:val="77DA252A"/>
    <w:rsid w:val="77E8339E"/>
    <w:rsid w:val="77EE3FE7"/>
    <w:rsid w:val="786A6925"/>
    <w:rsid w:val="78B64DDB"/>
    <w:rsid w:val="78D17CF6"/>
    <w:rsid w:val="78F51C72"/>
    <w:rsid w:val="7936053E"/>
    <w:rsid w:val="7A3063DE"/>
    <w:rsid w:val="7A5536F5"/>
    <w:rsid w:val="7AC6441E"/>
    <w:rsid w:val="7AD03B56"/>
    <w:rsid w:val="7AFD74CC"/>
    <w:rsid w:val="7C9A51F7"/>
    <w:rsid w:val="7D482EAC"/>
    <w:rsid w:val="7D5E5958"/>
    <w:rsid w:val="7D7A213C"/>
    <w:rsid w:val="7DB920A8"/>
    <w:rsid w:val="7E13413D"/>
    <w:rsid w:val="7E1E065F"/>
    <w:rsid w:val="7E657413"/>
    <w:rsid w:val="7E952F4B"/>
    <w:rsid w:val="7E982A38"/>
    <w:rsid w:val="7EAC11C6"/>
    <w:rsid w:val="7EB561B5"/>
    <w:rsid w:val="7EE579CB"/>
    <w:rsid w:val="7EED41C0"/>
    <w:rsid w:val="7EFE565A"/>
    <w:rsid w:val="7F21638D"/>
    <w:rsid w:val="7F632560"/>
    <w:rsid w:val="7FA3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109"/>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62"/>
    <w:qFormat/>
    <w:uiPriority w:val="0"/>
    <w:pPr>
      <w:keepNext/>
      <w:keepLines/>
      <w:spacing w:before="240" w:after="64" w:line="320" w:lineRule="auto"/>
      <w:outlineLvl w:val="5"/>
    </w:pPr>
    <w:rPr>
      <w:rFonts w:ascii="Calibri Light" w:hAnsi="Calibri Light"/>
      <w:b/>
      <w:bCs/>
      <w:sz w:val="24"/>
    </w:rPr>
  </w:style>
  <w:style w:type="paragraph" w:styleId="10">
    <w:name w:val="heading 7"/>
    <w:basedOn w:val="1"/>
    <w:next w:val="11"/>
    <w:link w:val="52"/>
    <w:qFormat/>
    <w:uiPriority w:val="0"/>
    <w:pPr>
      <w:keepNext/>
      <w:keepLines/>
      <w:spacing w:before="240" w:after="64" w:line="320" w:lineRule="auto"/>
      <w:outlineLvl w:val="6"/>
    </w:pPr>
    <w:rPr>
      <w:b/>
      <w:sz w:val="24"/>
    </w:rPr>
  </w:style>
  <w:style w:type="paragraph" w:styleId="12">
    <w:name w:val="heading 8"/>
    <w:basedOn w:val="1"/>
    <w:next w:val="11"/>
    <w:link w:val="138"/>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1"/>
    <w:link w:val="101"/>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75"/>
    <w:autoRedefine/>
    <w:unhideWhenUsed/>
    <w:qFormat/>
    <w:uiPriority w:val="0"/>
    <w:pPr>
      <w:spacing w:after="120" w:line="480" w:lineRule="auto"/>
      <w:ind w:left="420" w:leftChars="200"/>
    </w:pPr>
  </w:style>
  <w:style w:type="paragraph" w:styleId="3">
    <w:name w:val="macro"/>
    <w:link w:val="56"/>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1">
    <w:name w:val="Normal Indent"/>
    <w:basedOn w:val="1"/>
    <w:link w:val="103"/>
    <w:autoRedefine/>
    <w:qFormat/>
    <w:uiPriority w:val="0"/>
    <w:pPr>
      <w:ind w:firstLine="420"/>
    </w:pPr>
    <w:rPr>
      <w:szCs w:val="20"/>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131"/>
    <w:semiHidden/>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link w:val="133"/>
    <w:autoRedefine/>
    <w:qFormat/>
    <w:uiPriority w:val="0"/>
    <w:pPr>
      <w:spacing w:line="500" w:lineRule="exact"/>
    </w:pPr>
    <w:rPr>
      <w:b/>
      <w:bCs/>
      <w:kern w:val="0"/>
      <w:sz w:val="24"/>
    </w:rPr>
  </w:style>
  <w:style w:type="paragraph" w:styleId="19">
    <w:name w:val="Body Text"/>
    <w:basedOn w:val="1"/>
    <w:link w:val="83"/>
    <w:autoRedefine/>
    <w:unhideWhenUsed/>
    <w:qFormat/>
    <w:uiPriority w:val="99"/>
    <w:pPr>
      <w:spacing w:after="120"/>
    </w:pPr>
  </w:style>
  <w:style w:type="paragraph" w:styleId="20">
    <w:name w:val="Body Text Indent"/>
    <w:basedOn w:val="1"/>
    <w:link w:val="55"/>
    <w:autoRedefine/>
    <w:qFormat/>
    <w:uiPriority w:val="0"/>
    <w:pPr>
      <w:ind w:firstLine="830" w:firstLineChars="352"/>
    </w:pPr>
    <w:rPr>
      <w:rFonts w:ascii="仿宋_GB2312" w:eastAsia="仿宋_GB2312"/>
      <w:kern w:val="0"/>
      <w:sz w:val="32"/>
      <w:szCs w:val="20"/>
    </w:rPr>
  </w:style>
  <w:style w:type="paragraph" w:styleId="21">
    <w:name w:val="List Number 3"/>
    <w:basedOn w:val="1"/>
    <w:autoRedefine/>
    <w:qFormat/>
    <w:uiPriority w:val="0"/>
    <w:pPr>
      <w:tabs>
        <w:tab w:val="left" w:pos="900"/>
      </w:tabs>
      <w:ind w:left="900" w:hanging="420"/>
    </w:pPr>
  </w:style>
  <w:style w:type="paragraph" w:styleId="22">
    <w:name w:val="List 2"/>
    <w:basedOn w:val="1"/>
    <w:qFormat/>
    <w:uiPriority w:val="0"/>
    <w:pPr>
      <w:ind w:left="100" w:leftChars="200" w:hanging="200" w:hangingChars="200"/>
    </w:pPr>
    <w:rPr>
      <w:sz w:val="28"/>
    </w:rPr>
  </w:style>
  <w:style w:type="paragraph" w:styleId="23">
    <w:name w:val="Plain Text"/>
    <w:basedOn w:val="1"/>
    <w:next w:val="4"/>
    <w:link w:val="121"/>
    <w:autoRedefine/>
    <w:qFormat/>
    <w:uiPriority w:val="0"/>
    <w:rPr>
      <w:rFonts w:ascii="宋体" w:hAnsi="Courier New"/>
      <w:kern w:val="0"/>
      <w:sz w:val="20"/>
      <w:szCs w:val="21"/>
    </w:rPr>
  </w:style>
  <w:style w:type="paragraph" w:styleId="24">
    <w:name w:val="Date"/>
    <w:basedOn w:val="1"/>
    <w:next w:val="1"/>
    <w:link w:val="50"/>
    <w:autoRedefine/>
    <w:qFormat/>
    <w:uiPriority w:val="0"/>
    <w:pPr>
      <w:ind w:left="100" w:leftChars="2500"/>
    </w:pPr>
  </w:style>
  <w:style w:type="paragraph" w:styleId="25">
    <w:name w:val="Balloon Text"/>
    <w:basedOn w:val="1"/>
    <w:link w:val="113"/>
    <w:autoRedefine/>
    <w:semiHidden/>
    <w:qFormat/>
    <w:uiPriority w:val="0"/>
    <w:rPr>
      <w:sz w:val="18"/>
      <w:szCs w:val="18"/>
    </w:rPr>
  </w:style>
  <w:style w:type="paragraph" w:styleId="26">
    <w:name w:val="footer"/>
    <w:basedOn w:val="1"/>
    <w:link w:val="116"/>
    <w:autoRedefine/>
    <w:unhideWhenUsed/>
    <w:qFormat/>
    <w:uiPriority w:val="0"/>
    <w:pPr>
      <w:tabs>
        <w:tab w:val="center" w:pos="4153"/>
        <w:tab w:val="right" w:pos="8306"/>
      </w:tabs>
      <w:snapToGrid w:val="0"/>
      <w:jc w:val="left"/>
    </w:pPr>
    <w:rPr>
      <w:rFonts w:ascii="Calibri" w:hAnsi="Calibri"/>
      <w:kern w:val="0"/>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107"/>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0">
    <w:name w:val="List"/>
    <w:basedOn w:val="1"/>
    <w:qFormat/>
    <w:uiPriority w:val="0"/>
    <w:pPr>
      <w:ind w:left="200" w:hanging="200" w:hangingChars="200"/>
    </w:pPr>
    <w:rPr>
      <w:sz w:val="28"/>
    </w:rPr>
  </w:style>
  <w:style w:type="paragraph" w:styleId="31">
    <w:name w:val="toc 6"/>
    <w:basedOn w:val="1"/>
    <w:next w:val="1"/>
    <w:autoRedefine/>
    <w:semiHidden/>
    <w:qFormat/>
    <w:uiPriority w:val="99"/>
    <w:pPr>
      <w:ind w:left="2100" w:leftChars="1000"/>
    </w:pPr>
  </w:style>
  <w:style w:type="paragraph" w:styleId="32">
    <w:name w:val="Body Text Indent 3"/>
    <w:basedOn w:val="1"/>
    <w:link w:val="97"/>
    <w:autoRedefine/>
    <w:qFormat/>
    <w:uiPriority w:val="0"/>
    <w:pPr>
      <w:spacing w:after="120"/>
      <w:ind w:left="420" w:leftChars="200"/>
    </w:pPr>
    <w:rPr>
      <w:kern w:val="0"/>
      <w:sz w:val="16"/>
      <w:szCs w:val="16"/>
    </w:rPr>
  </w:style>
  <w:style w:type="paragraph" w:styleId="33">
    <w:name w:val="toc 9"/>
    <w:basedOn w:val="1"/>
    <w:next w:val="1"/>
    <w:autoRedefine/>
    <w:semiHidden/>
    <w:qFormat/>
    <w:uiPriority w:val="0"/>
    <w:pPr>
      <w:ind w:left="3360" w:leftChars="1600"/>
    </w:pPr>
    <w:rPr>
      <w:rFonts w:ascii="宋体" w:hAnsi="Courier New"/>
      <w:szCs w:val="20"/>
    </w:rPr>
  </w:style>
  <w:style w:type="paragraph" w:styleId="34">
    <w:name w:val="Body Text 2"/>
    <w:basedOn w:val="1"/>
    <w:link w:val="146"/>
    <w:autoRedefine/>
    <w:qFormat/>
    <w:uiPriority w:val="0"/>
    <w:pPr>
      <w:spacing w:after="120" w:line="480" w:lineRule="auto"/>
    </w:pPr>
    <w:rPr>
      <w:kern w:val="0"/>
      <w:sz w:val="20"/>
    </w:rPr>
  </w:style>
  <w:style w:type="paragraph" w:styleId="35">
    <w:name w:val="HTML Preformatted"/>
    <w:basedOn w:val="1"/>
    <w:link w:val="11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37">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8">
    <w:name w:val="annotation subject"/>
    <w:basedOn w:val="17"/>
    <w:next w:val="17"/>
    <w:link w:val="51"/>
    <w:autoRedefine/>
    <w:semiHidden/>
    <w:qFormat/>
    <w:uiPriority w:val="0"/>
    <w:rPr>
      <w:b/>
      <w:bCs/>
    </w:rPr>
  </w:style>
  <w:style w:type="paragraph" w:styleId="39">
    <w:name w:val="Body Text First Indent"/>
    <w:basedOn w:val="19"/>
    <w:next w:val="31"/>
    <w:autoRedefine/>
    <w:unhideWhenUsed/>
    <w:qFormat/>
    <w:uiPriority w:val="99"/>
    <w:pPr>
      <w:ind w:firstLine="420" w:firstLineChars="100"/>
    </w:pPr>
  </w:style>
  <w:style w:type="paragraph" w:styleId="40">
    <w:name w:val="Body Text First Indent 2"/>
    <w:basedOn w:val="20"/>
    <w:next w:val="1"/>
    <w:link w:val="210"/>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basedOn w:val="43"/>
    <w:autoRedefine/>
    <w:qFormat/>
    <w:uiPriority w:val="0"/>
  </w:style>
  <w:style w:type="character" w:styleId="46">
    <w:name w:val="FollowedHyperlink"/>
    <w:autoRedefine/>
    <w:qFormat/>
    <w:uiPriority w:val="99"/>
    <w:rPr>
      <w:color w:val="800080"/>
      <w:u w:val="single"/>
    </w:rPr>
  </w:style>
  <w:style w:type="character" w:styleId="47">
    <w:name w:val="Emphasis"/>
    <w:autoRedefine/>
    <w:qFormat/>
    <w:uiPriority w:val="0"/>
    <w:rPr>
      <w:color w:val="CC0000"/>
    </w:rPr>
  </w:style>
  <w:style w:type="character" w:styleId="48">
    <w:name w:val="Hyperlink"/>
    <w:autoRedefine/>
    <w:qFormat/>
    <w:uiPriority w:val="99"/>
    <w:rPr>
      <w:color w:val="0000FF"/>
      <w:u w:val="single"/>
    </w:rPr>
  </w:style>
  <w:style w:type="character" w:styleId="49">
    <w:name w:val="annotation reference"/>
    <w:autoRedefine/>
    <w:qFormat/>
    <w:uiPriority w:val="0"/>
    <w:rPr>
      <w:sz w:val="21"/>
      <w:szCs w:val="21"/>
    </w:rPr>
  </w:style>
  <w:style w:type="character" w:customStyle="1" w:styleId="50">
    <w:name w:val="日期 Char"/>
    <w:link w:val="24"/>
    <w:autoRedefine/>
    <w:qFormat/>
    <w:uiPriority w:val="0"/>
    <w:rPr>
      <w:rFonts w:ascii="Times New Roman" w:hAnsi="Times New Roman"/>
      <w:kern w:val="2"/>
      <w:sz w:val="21"/>
      <w:szCs w:val="24"/>
    </w:rPr>
  </w:style>
  <w:style w:type="character" w:customStyle="1" w:styleId="51">
    <w:name w:val="批注主题 Char"/>
    <w:link w:val="38"/>
    <w:autoRedefine/>
    <w:semiHidden/>
    <w:qFormat/>
    <w:uiPriority w:val="0"/>
    <w:rPr>
      <w:rFonts w:ascii="Times New Roman" w:hAnsi="Times New Roman"/>
      <w:b/>
      <w:bCs/>
      <w:kern w:val="2"/>
      <w:sz w:val="21"/>
      <w:szCs w:val="24"/>
    </w:rPr>
  </w:style>
  <w:style w:type="character" w:customStyle="1" w:styleId="52">
    <w:name w:val="标题 7 Char"/>
    <w:link w:val="10"/>
    <w:autoRedefine/>
    <w:qFormat/>
    <w:uiPriority w:val="0"/>
    <w:rPr>
      <w:rFonts w:ascii="Times New Roman" w:hAnsi="Times New Roman"/>
      <w:b/>
      <w:kern w:val="2"/>
      <w:sz w:val="24"/>
      <w:szCs w:val="24"/>
    </w:rPr>
  </w:style>
  <w:style w:type="character" w:customStyle="1" w:styleId="53">
    <w:name w:val="apple-converted-space"/>
    <w:basedOn w:val="43"/>
    <w:autoRedefine/>
    <w:qFormat/>
    <w:uiPriority w:val="0"/>
  </w:style>
  <w:style w:type="character" w:customStyle="1" w:styleId="54">
    <w:name w:val="纯文本 Char1"/>
    <w:autoRedefine/>
    <w:qFormat/>
    <w:uiPriority w:val="0"/>
    <w:rPr>
      <w:rFonts w:ascii="宋体" w:hAnsi="Courier New" w:eastAsia="宋体" w:cs="Times New Roman"/>
      <w:szCs w:val="20"/>
    </w:rPr>
  </w:style>
  <w:style w:type="character" w:customStyle="1" w:styleId="55">
    <w:name w:val="正文文本缩进 Char"/>
    <w:link w:val="20"/>
    <w:autoRedefine/>
    <w:qFormat/>
    <w:uiPriority w:val="0"/>
    <w:rPr>
      <w:rFonts w:ascii="仿宋_GB2312" w:hAnsi="Times New Roman" w:eastAsia="仿宋_GB2312" w:cs="Times New Roman"/>
      <w:sz w:val="32"/>
      <w:szCs w:val="20"/>
    </w:rPr>
  </w:style>
  <w:style w:type="character" w:customStyle="1" w:styleId="56">
    <w:name w:val="宏文本 Char"/>
    <w:link w:val="3"/>
    <w:semiHidden/>
    <w:qFormat/>
    <w:uiPriority w:val="0"/>
    <w:rPr>
      <w:rFonts w:ascii="Courier New" w:hAnsi="Courier New"/>
      <w:lang w:val="en-US" w:eastAsia="zh-CN" w:bidi="ar-SA"/>
    </w:rPr>
  </w:style>
  <w:style w:type="character" w:customStyle="1" w:styleId="57">
    <w:name w:val="Char Char15"/>
    <w:autoRedefine/>
    <w:qFormat/>
    <w:locked/>
    <w:uiPriority w:val="0"/>
    <w:rPr>
      <w:rFonts w:eastAsia="宋体"/>
      <w:b/>
      <w:kern w:val="2"/>
      <w:sz w:val="24"/>
      <w:szCs w:val="24"/>
      <w:lang w:bidi="ar-SA"/>
    </w:rPr>
  </w:style>
  <w:style w:type="character" w:customStyle="1" w:styleId="58">
    <w:name w:val="正文文本 2 Char1"/>
    <w:autoRedefine/>
    <w:semiHidden/>
    <w:qFormat/>
    <w:uiPriority w:val="99"/>
    <w:rPr>
      <w:rFonts w:ascii="Times New Roman" w:hAnsi="Times New Roman"/>
      <w:kern w:val="2"/>
      <w:sz w:val="21"/>
      <w:szCs w:val="24"/>
    </w:rPr>
  </w:style>
  <w:style w:type="character" w:customStyle="1" w:styleId="59">
    <w:name w:val="标题 3 Char"/>
    <w:link w:val="6"/>
    <w:autoRedefine/>
    <w:qFormat/>
    <w:uiPriority w:val="0"/>
    <w:rPr>
      <w:rFonts w:ascii="Times New Roman" w:hAnsi="Times New Roman"/>
      <w:b/>
      <w:bCs/>
      <w:sz w:val="32"/>
      <w:szCs w:val="32"/>
    </w:rPr>
  </w:style>
  <w:style w:type="character" w:customStyle="1" w:styleId="60">
    <w:name w:val="font41"/>
    <w:autoRedefine/>
    <w:qFormat/>
    <w:uiPriority w:val="0"/>
    <w:rPr>
      <w:rFonts w:hint="eastAsia" w:ascii="宋体" w:hAnsi="宋体" w:eastAsia="宋体" w:cs="宋体"/>
      <w:color w:val="000000"/>
      <w:sz w:val="22"/>
      <w:szCs w:val="22"/>
      <w:u w:val="none"/>
    </w:rPr>
  </w:style>
  <w:style w:type="character" w:customStyle="1" w:styleId="61">
    <w:name w:val="正文文本 3 Char2"/>
    <w:autoRedefine/>
    <w:semiHidden/>
    <w:qFormat/>
    <w:uiPriority w:val="99"/>
    <w:rPr>
      <w:rFonts w:ascii="Times New Roman" w:hAnsi="Times New Roman"/>
      <w:kern w:val="2"/>
      <w:sz w:val="16"/>
      <w:szCs w:val="16"/>
    </w:rPr>
  </w:style>
  <w:style w:type="character" w:customStyle="1" w:styleId="62">
    <w:name w:val="标题 6 Char"/>
    <w:link w:val="9"/>
    <w:qFormat/>
    <w:uiPriority w:val="0"/>
    <w:rPr>
      <w:rFonts w:ascii="Calibri Light" w:hAnsi="Calibri Light" w:eastAsia="宋体" w:cs="Times New Roman"/>
      <w:b/>
      <w:bCs/>
      <w:kern w:val="2"/>
      <w:sz w:val="24"/>
      <w:szCs w:val="24"/>
    </w:rPr>
  </w:style>
  <w:style w:type="character" w:customStyle="1" w:styleId="63">
    <w:name w:val="正文文本 2 Char2"/>
    <w:semiHidden/>
    <w:qFormat/>
    <w:uiPriority w:val="99"/>
    <w:rPr>
      <w:rFonts w:ascii="Times New Roman" w:hAnsi="Times New Roman"/>
      <w:kern w:val="2"/>
      <w:sz w:val="21"/>
      <w:szCs w:val="24"/>
    </w:rPr>
  </w:style>
  <w:style w:type="character" w:customStyle="1" w:styleId="64">
    <w:name w:val="Char Char"/>
    <w:qFormat/>
    <w:locked/>
    <w:uiPriority w:val="0"/>
    <w:rPr>
      <w:rFonts w:ascii="宋体" w:hAnsi="宋体" w:eastAsia="宋体"/>
      <w:kern w:val="2"/>
      <w:sz w:val="21"/>
      <w:szCs w:val="24"/>
      <w:lang w:bidi="ar-SA"/>
    </w:rPr>
  </w:style>
  <w:style w:type="character" w:customStyle="1" w:styleId="65">
    <w:name w:val="Char Char1"/>
    <w:qFormat/>
    <w:locked/>
    <w:uiPriority w:val="0"/>
    <w:rPr>
      <w:rFonts w:ascii="宋体" w:hAnsi="宋体" w:eastAsia="宋体"/>
      <w:szCs w:val="24"/>
      <w:lang w:bidi="ar-SA"/>
    </w:rPr>
  </w:style>
  <w:style w:type="character" w:customStyle="1" w:styleId="66">
    <w:name w:val="日期 Char2"/>
    <w:semiHidden/>
    <w:qFormat/>
    <w:uiPriority w:val="99"/>
    <w:rPr>
      <w:rFonts w:ascii="Times New Roman" w:hAnsi="Times New Roman"/>
      <w:kern w:val="2"/>
      <w:sz w:val="21"/>
      <w:szCs w:val="24"/>
    </w:rPr>
  </w:style>
  <w:style w:type="character" w:customStyle="1" w:styleId="67">
    <w:name w:val="正文文本缩进 Char2"/>
    <w:semiHidden/>
    <w:qFormat/>
    <w:uiPriority w:val="99"/>
    <w:rPr>
      <w:rFonts w:ascii="Times New Roman" w:hAnsi="Times New Roman"/>
      <w:kern w:val="2"/>
      <w:sz w:val="21"/>
      <w:szCs w:val="24"/>
    </w:rPr>
  </w:style>
  <w:style w:type="character" w:customStyle="1" w:styleId="68">
    <w:name w:val="页眉 Char2"/>
    <w:semiHidden/>
    <w:qFormat/>
    <w:uiPriority w:val="99"/>
    <w:rPr>
      <w:rFonts w:ascii="Times New Roman" w:hAnsi="Times New Roman"/>
      <w:kern w:val="2"/>
      <w:sz w:val="18"/>
      <w:szCs w:val="18"/>
    </w:rPr>
  </w:style>
  <w:style w:type="character" w:customStyle="1" w:styleId="69">
    <w:name w:val="Char Char18"/>
    <w:qFormat/>
    <w:locked/>
    <w:uiPriority w:val="0"/>
    <w:rPr>
      <w:rFonts w:eastAsia="宋体"/>
      <w:b/>
      <w:bCs/>
      <w:sz w:val="32"/>
      <w:szCs w:val="32"/>
      <w:lang w:bidi="ar-SA"/>
    </w:rPr>
  </w:style>
  <w:style w:type="character" w:customStyle="1" w:styleId="70">
    <w:name w:val="Char Char9"/>
    <w:qFormat/>
    <w:locked/>
    <w:uiPriority w:val="0"/>
    <w:rPr>
      <w:rFonts w:ascii="宋体" w:hAnsi="宋体" w:eastAsia="宋体"/>
      <w:sz w:val="32"/>
      <w:lang w:bidi="ar-SA"/>
    </w:rPr>
  </w:style>
  <w:style w:type="character" w:customStyle="1" w:styleId="71">
    <w:name w:val="批注文字 Char"/>
    <w:link w:val="17"/>
    <w:qFormat/>
    <w:uiPriority w:val="0"/>
    <w:rPr>
      <w:rFonts w:ascii="Times New Roman" w:hAnsi="Times New Roman"/>
      <w:kern w:val="2"/>
      <w:sz w:val="21"/>
      <w:szCs w:val="24"/>
    </w:rPr>
  </w:style>
  <w:style w:type="character" w:customStyle="1" w:styleId="72">
    <w:name w:val="宏文本 Char2"/>
    <w:semiHidden/>
    <w:qFormat/>
    <w:uiPriority w:val="99"/>
    <w:rPr>
      <w:rFonts w:ascii="Courier New" w:hAnsi="Courier New" w:cs="Courier New"/>
      <w:kern w:val="2"/>
      <w:sz w:val="24"/>
      <w:szCs w:val="24"/>
    </w:rPr>
  </w:style>
  <w:style w:type="character" w:customStyle="1" w:styleId="73">
    <w:name w:val="Char Char10"/>
    <w:qFormat/>
    <w:locked/>
    <w:uiPriority w:val="0"/>
    <w:rPr>
      <w:rFonts w:ascii="宋体" w:hAnsi="宋体" w:eastAsia="宋体"/>
      <w:b/>
      <w:bCs/>
      <w:sz w:val="24"/>
      <w:szCs w:val="24"/>
      <w:lang w:bidi="ar-SA"/>
    </w:rPr>
  </w:style>
  <w:style w:type="character" w:customStyle="1" w:styleId="74">
    <w:name w:val="font51"/>
    <w:qFormat/>
    <w:uiPriority w:val="0"/>
    <w:rPr>
      <w:rFonts w:hint="eastAsia" w:ascii="宋体" w:hAnsi="宋体" w:eastAsia="宋体" w:cs="宋体"/>
      <w:color w:val="000000"/>
      <w:sz w:val="20"/>
      <w:szCs w:val="20"/>
      <w:u w:val="none"/>
    </w:rPr>
  </w:style>
  <w:style w:type="character" w:customStyle="1" w:styleId="75">
    <w:name w:val="正文文本缩进 2 Char"/>
    <w:link w:val="2"/>
    <w:qFormat/>
    <w:uiPriority w:val="0"/>
    <w:rPr>
      <w:rFonts w:ascii="Times New Roman" w:hAnsi="Times New Roman"/>
      <w:kern w:val="2"/>
      <w:sz w:val="21"/>
      <w:szCs w:val="24"/>
    </w:rPr>
  </w:style>
  <w:style w:type="character" w:customStyle="1" w:styleId="76">
    <w:name w:val="mark"/>
    <w:basedOn w:val="43"/>
    <w:qFormat/>
    <w:uiPriority w:val="0"/>
  </w:style>
  <w:style w:type="character" w:customStyle="1" w:styleId="77">
    <w:name w:val="正文文本 Char2"/>
    <w:semiHidden/>
    <w:qFormat/>
    <w:uiPriority w:val="99"/>
    <w:rPr>
      <w:rFonts w:ascii="Times New Roman" w:hAnsi="Times New Roman"/>
      <w:kern w:val="2"/>
      <w:sz w:val="21"/>
      <w:szCs w:val="24"/>
    </w:rPr>
  </w:style>
  <w:style w:type="character" w:customStyle="1" w:styleId="78">
    <w:name w:val="Char Char17"/>
    <w:qFormat/>
    <w:locked/>
    <w:uiPriority w:val="0"/>
    <w:rPr>
      <w:rFonts w:eastAsia="宋体"/>
      <w:b/>
      <w:kern w:val="2"/>
      <w:sz w:val="28"/>
      <w:szCs w:val="24"/>
      <w:lang w:bidi="ar-SA"/>
    </w:rPr>
  </w:style>
  <w:style w:type="character" w:customStyle="1" w:styleId="79">
    <w:name w:val="列出段落 Char"/>
    <w:link w:val="80"/>
    <w:qFormat/>
    <w:locked/>
    <w:uiPriority w:val="0"/>
    <w:rPr>
      <w:kern w:val="2"/>
      <w:sz w:val="21"/>
      <w:szCs w:val="22"/>
    </w:rPr>
  </w:style>
  <w:style w:type="paragraph" w:styleId="80">
    <w:name w:val="List Paragraph"/>
    <w:basedOn w:val="1"/>
    <w:link w:val="79"/>
    <w:qFormat/>
    <w:uiPriority w:val="0"/>
    <w:pPr>
      <w:ind w:firstLine="420" w:firstLineChars="200"/>
    </w:pPr>
    <w:rPr>
      <w:rFonts w:ascii="Calibri" w:hAnsi="Calibri"/>
      <w:szCs w:val="22"/>
    </w:rPr>
  </w:style>
  <w:style w:type="character" w:customStyle="1" w:styleId="81">
    <w:name w:val="正文文本缩进 2 Char1"/>
    <w:semiHidden/>
    <w:qFormat/>
    <w:locked/>
    <w:uiPriority w:val="99"/>
    <w:rPr>
      <w:rFonts w:ascii="Times New Roman" w:hAnsi="Times New Roman"/>
      <w:sz w:val="32"/>
    </w:rPr>
  </w:style>
  <w:style w:type="character" w:customStyle="1" w:styleId="82">
    <w:name w:val="Char Char19"/>
    <w:qFormat/>
    <w:locked/>
    <w:uiPriority w:val="0"/>
    <w:rPr>
      <w:rFonts w:ascii="Arial" w:hAnsi="Arial" w:eastAsia="黑体"/>
      <w:b/>
      <w:bCs/>
      <w:sz w:val="32"/>
      <w:szCs w:val="32"/>
      <w:lang w:bidi="ar-SA"/>
    </w:rPr>
  </w:style>
  <w:style w:type="character" w:customStyle="1" w:styleId="83">
    <w:name w:val="正文文本 Char"/>
    <w:link w:val="19"/>
    <w:qFormat/>
    <w:uiPriority w:val="0"/>
    <w:rPr>
      <w:rFonts w:ascii="Times New Roman" w:hAnsi="Times New Roman"/>
      <w:kern w:val="2"/>
      <w:sz w:val="21"/>
      <w:szCs w:val="24"/>
    </w:rPr>
  </w:style>
  <w:style w:type="character" w:customStyle="1" w:styleId="84">
    <w:name w:val="ca-41"/>
    <w:qFormat/>
    <w:uiPriority w:val="0"/>
    <w:rPr>
      <w:rFonts w:hint="eastAsia" w:ascii="宋体" w:hAnsi="宋体" w:eastAsia="宋体"/>
      <w:color w:val="FF0000"/>
      <w:sz w:val="21"/>
      <w:szCs w:val="21"/>
    </w:rPr>
  </w:style>
  <w:style w:type="character" w:customStyle="1" w:styleId="85">
    <w:name w:val="Char Char4"/>
    <w:qFormat/>
    <w:locked/>
    <w:uiPriority w:val="0"/>
    <w:rPr>
      <w:rFonts w:ascii="宋体" w:hAnsi="Courier New" w:eastAsia="宋体"/>
      <w:szCs w:val="21"/>
      <w:lang w:bidi="ar-SA"/>
    </w:rPr>
  </w:style>
  <w:style w:type="character" w:customStyle="1" w:styleId="86">
    <w:name w:val="Char Char14"/>
    <w:qFormat/>
    <w:locked/>
    <w:uiPriority w:val="0"/>
    <w:rPr>
      <w:rFonts w:ascii="Arial" w:hAnsi="Arial" w:eastAsia="黑体"/>
      <w:kern w:val="2"/>
      <w:sz w:val="24"/>
      <w:szCs w:val="24"/>
      <w:lang w:bidi="ar-SA"/>
    </w:rPr>
  </w:style>
  <w:style w:type="character" w:customStyle="1" w:styleId="87">
    <w:name w:val="日期 Char1"/>
    <w:semiHidden/>
    <w:qFormat/>
    <w:uiPriority w:val="99"/>
    <w:rPr>
      <w:rFonts w:ascii="Times New Roman" w:hAnsi="Times New Roman" w:eastAsia="宋体" w:cs="Times New Roman"/>
      <w:szCs w:val="24"/>
    </w:rPr>
  </w:style>
  <w:style w:type="character" w:customStyle="1" w:styleId="88">
    <w:name w:val="case31"/>
    <w:qFormat/>
    <w:uiPriority w:val="0"/>
    <w:rPr>
      <w:rFonts w:hint="default"/>
      <w:sz w:val="21"/>
      <w:szCs w:val="21"/>
    </w:rPr>
  </w:style>
  <w:style w:type="character" w:customStyle="1" w:styleId="89">
    <w:name w:val="Heading 1 Char"/>
    <w:qFormat/>
    <w:locked/>
    <w:uiPriority w:val="0"/>
    <w:rPr>
      <w:rFonts w:ascii="Calibri" w:hAnsi="Calibri" w:eastAsia="宋体"/>
      <w:b/>
      <w:kern w:val="44"/>
      <w:sz w:val="44"/>
      <w:lang w:val="en-US" w:eastAsia="zh-CN" w:bidi="ar-SA"/>
    </w:rPr>
  </w:style>
  <w:style w:type="character" w:customStyle="1" w:styleId="90">
    <w:name w:val="Char Char20"/>
    <w:qFormat/>
    <w:locked/>
    <w:uiPriority w:val="0"/>
    <w:rPr>
      <w:rFonts w:eastAsia="宋体"/>
      <w:b/>
      <w:bCs/>
      <w:kern w:val="44"/>
      <w:sz w:val="44"/>
      <w:szCs w:val="44"/>
      <w:lang w:bidi="ar-SA"/>
    </w:rPr>
  </w:style>
  <w:style w:type="character" w:customStyle="1" w:styleId="91">
    <w:name w:val="Char Char11"/>
    <w:qFormat/>
    <w:locked/>
    <w:uiPriority w:val="0"/>
    <w:rPr>
      <w:rFonts w:ascii="仿宋_GB2312" w:eastAsia="仿宋_GB2312"/>
      <w:sz w:val="32"/>
      <w:lang w:bidi="ar-SA"/>
    </w:rPr>
  </w:style>
  <w:style w:type="character" w:customStyle="1" w:styleId="92">
    <w:name w:val="标题 1 Char"/>
    <w:link w:val="4"/>
    <w:qFormat/>
    <w:uiPriority w:val="0"/>
    <w:rPr>
      <w:rFonts w:ascii="Times New Roman" w:hAnsi="Times New Roman"/>
      <w:b/>
      <w:bCs/>
      <w:kern w:val="44"/>
      <w:sz w:val="44"/>
      <w:szCs w:val="44"/>
    </w:rPr>
  </w:style>
  <w:style w:type="character" w:customStyle="1" w:styleId="93">
    <w:name w:val="Char Char6"/>
    <w:qFormat/>
    <w:locked/>
    <w:uiPriority w:val="0"/>
    <w:rPr>
      <w:rFonts w:ascii="宋体" w:hAnsi="宋体" w:eastAsia="宋体"/>
      <w:sz w:val="16"/>
      <w:szCs w:val="16"/>
      <w:lang w:bidi="ar-SA"/>
    </w:rPr>
  </w:style>
  <w:style w:type="character" w:customStyle="1" w:styleId="94">
    <w:name w:val="Char Char5"/>
    <w:qFormat/>
    <w:locked/>
    <w:uiPriority w:val="0"/>
    <w:rPr>
      <w:sz w:val="18"/>
      <w:szCs w:val="18"/>
      <w:lang w:bidi="ar-SA"/>
    </w:rPr>
  </w:style>
  <w:style w:type="character" w:customStyle="1" w:styleId="95">
    <w:name w:val="批注框文本 Char2"/>
    <w:semiHidden/>
    <w:qFormat/>
    <w:uiPriority w:val="99"/>
    <w:rPr>
      <w:rFonts w:ascii="Times New Roman" w:hAnsi="Times New Roman"/>
      <w:kern w:val="2"/>
      <w:sz w:val="18"/>
      <w:szCs w:val="18"/>
    </w:rPr>
  </w:style>
  <w:style w:type="character" w:customStyle="1" w:styleId="96">
    <w:name w:val="Char Char8"/>
    <w:qFormat/>
    <w:locked/>
    <w:uiPriority w:val="0"/>
    <w:rPr>
      <w:sz w:val="18"/>
      <w:szCs w:val="18"/>
      <w:lang w:bidi="ar-SA"/>
    </w:rPr>
  </w:style>
  <w:style w:type="character" w:customStyle="1" w:styleId="97">
    <w:name w:val="正文文本缩进 3 Char"/>
    <w:link w:val="32"/>
    <w:qFormat/>
    <w:uiPriority w:val="0"/>
    <w:rPr>
      <w:rFonts w:ascii="Times New Roman" w:hAnsi="Times New Roman"/>
      <w:sz w:val="16"/>
      <w:szCs w:val="16"/>
    </w:rPr>
  </w:style>
  <w:style w:type="character" w:customStyle="1" w:styleId="98">
    <w:name w:val="正文文本缩进 Char1"/>
    <w:semiHidden/>
    <w:qFormat/>
    <w:uiPriority w:val="99"/>
    <w:rPr>
      <w:rFonts w:ascii="Times New Roman" w:hAnsi="Times New Roman" w:eastAsia="宋体" w:cs="Times New Roman"/>
      <w:szCs w:val="24"/>
    </w:rPr>
  </w:style>
  <w:style w:type="character" w:customStyle="1" w:styleId="99">
    <w:name w:val="批注框文本 Char1"/>
    <w:semiHidden/>
    <w:qFormat/>
    <w:uiPriority w:val="99"/>
    <w:rPr>
      <w:rFonts w:ascii="Times New Roman" w:hAnsi="Times New Roman" w:eastAsia="宋体" w:cs="Times New Roman"/>
      <w:sz w:val="18"/>
      <w:szCs w:val="18"/>
    </w:rPr>
  </w:style>
  <w:style w:type="character" w:customStyle="1" w:styleId="100">
    <w:name w:val="文档结构图 Char1"/>
    <w:semiHidden/>
    <w:qFormat/>
    <w:uiPriority w:val="99"/>
    <w:rPr>
      <w:rFonts w:ascii="宋体" w:hAnsi="Times New Roman"/>
      <w:kern w:val="2"/>
      <w:sz w:val="18"/>
      <w:szCs w:val="18"/>
    </w:rPr>
  </w:style>
  <w:style w:type="character" w:customStyle="1" w:styleId="101">
    <w:name w:val="标题 9 Char"/>
    <w:link w:val="13"/>
    <w:qFormat/>
    <w:uiPriority w:val="0"/>
    <w:rPr>
      <w:rFonts w:ascii="Arial" w:hAnsi="Arial" w:eastAsia="黑体"/>
      <w:kern w:val="2"/>
      <w:sz w:val="21"/>
      <w:szCs w:val="24"/>
    </w:rPr>
  </w:style>
  <w:style w:type="character" w:customStyle="1" w:styleId="102">
    <w:name w:val="页脚 Char2"/>
    <w:semiHidden/>
    <w:qFormat/>
    <w:uiPriority w:val="99"/>
    <w:rPr>
      <w:rFonts w:ascii="Times New Roman" w:hAnsi="Times New Roman"/>
      <w:kern w:val="2"/>
      <w:sz w:val="18"/>
      <w:szCs w:val="18"/>
    </w:rPr>
  </w:style>
  <w:style w:type="character" w:customStyle="1" w:styleId="103">
    <w:name w:val="正文缩进 Char"/>
    <w:link w:val="11"/>
    <w:qFormat/>
    <w:uiPriority w:val="0"/>
    <w:rPr>
      <w:rFonts w:ascii="Times New Roman" w:hAnsi="Times New Roman"/>
      <w:kern w:val="2"/>
      <w:sz w:val="21"/>
    </w:rPr>
  </w:style>
  <w:style w:type="character" w:customStyle="1" w:styleId="104">
    <w:name w:val="HTML 预设格式 Char2"/>
    <w:semiHidden/>
    <w:qFormat/>
    <w:uiPriority w:val="99"/>
    <w:rPr>
      <w:rFonts w:ascii="Courier New" w:hAnsi="Courier New" w:cs="Courier New"/>
      <w:kern w:val="2"/>
    </w:rPr>
  </w:style>
  <w:style w:type="character" w:customStyle="1" w:styleId="105">
    <w:name w:val="纯文本 Char2"/>
    <w:semiHidden/>
    <w:qFormat/>
    <w:uiPriority w:val="99"/>
    <w:rPr>
      <w:rFonts w:ascii="宋体" w:hAnsi="Courier New" w:cs="Courier New"/>
      <w:kern w:val="2"/>
      <w:sz w:val="21"/>
      <w:szCs w:val="21"/>
    </w:rPr>
  </w:style>
  <w:style w:type="character" w:customStyle="1" w:styleId="106">
    <w:name w:val="正文文本 3 Char1"/>
    <w:semiHidden/>
    <w:qFormat/>
    <w:uiPriority w:val="99"/>
    <w:rPr>
      <w:rFonts w:ascii="Times New Roman" w:hAnsi="Times New Roman"/>
      <w:kern w:val="2"/>
      <w:sz w:val="16"/>
      <w:szCs w:val="16"/>
    </w:rPr>
  </w:style>
  <w:style w:type="character" w:customStyle="1" w:styleId="107">
    <w:name w:val="页眉 Char"/>
    <w:link w:val="28"/>
    <w:qFormat/>
    <w:uiPriority w:val="0"/>
    <w:rPr>
      <w:sz w:val="18"/>
      <w:szCs w:val="18"/>
    </w:rPr>
  </w:style>
  <w:style w:type="character" w:customStyle="1" w:styleId="108">
    <w:name w:val="批注文字 Char1"/>
    <w:semiHidden/>
    <w:qFormat/>
    <w:uiPriority w:val="99"/>
    <w:rPr>
      <w:rFonts w:ascii="Times New Roman" w:hAnsi="Times New Roman"/>
      <w:kern w:val="2"/>
      <w:sz w:val="21"/>
      <w:szCs w:val="24"/>
    </w:rPr>
  </w:style>
  <w:style w:type="character" w:customStyle="1" w:styleId="109">
    <w:name w:val="标题 5 Char"/>
    <w:link w:val="8"/>
    <w:qFormat/>
    <w:uiPriority w:val="0"/>
    <w:rPr>
      <w:rFonts w:eastAsia="宋体"/>
      <w:b/>
      <w:bCs/>
      <w:kern w:val="2"/>
      <w:sz w:val="28"/>
      <w:szCs w:val="28"/>
      <w:lang w:val="en-US" w:eastAsia="zh-CN" w:bidi="ar-SA"/>
    </w:rPr>
  </w:style>
  <w:style w:type="character" w:customStyle="1" w:styleId="110">
    <w:name w:val="表格标题2 Char"/>
    <w:link w:val="111"/>
    <w:qFormat/>
    <w:uiPriority w:val="0"/>
    <w:rPr>
      <w:rFonts w:ascii="Arial" w:hAnsi="Arial" w:eastAsia="微软雅黑"/>
      <w:b/>
      <w:bCs/>
      <w:kern w:val="2"/>
      <w:sz w:val="21"/>
      <w:szCs w:val="24"/>
    </w:rPr>
  </w:style>
  <w:style w:type="paragraph" w:customStyle="1" w:styleId="111">
    <w:name w:val="表格标题2"/>
    <w:basedOn w:val="9"/>
    <w:link w:val="110"/>
    <w:qFormat/>
    <w:uiPriority w:val="0"/>
    <w:pPr>
      <w:spacing w:before="0" w:after="0" w:line="240" w:lineRule="auto"/>
      <w:jc w:val="center"/>
    </w:pPr>
    <w:rPr>
      <w:rFonts w:ascii="Arial" w:hAnsi="Arial" w:eastAsia="微软雅黑"/>
      <w:sz w:val="21"/>
    </w:rPr>
  </w:style>
  <w:style w:type="character" w:customStyle="1" w:styleId="112">
    <w:name w:val="普通文字 Char Char2"/>
    <w:qFormat/>
    <w:uiPriority w:val="0"/>
    <w:rPr>
      <w:rFonts w:ascii="宋体" w:hAnsi="Courier New" w:eastAsia="宋体"/>
      <w:szCs w:val="21"/>
      <w:lang w:bidi="ar-SA"/>
    </w:rPr>
  </w:style>
  <w:style w:type="character" w:customStyle="1" w:styleId="113">
    <w:name w:val="批注框文本 Char"/>
    <w:link w:val="25"/>
    <w:semiHidden/>
    <w:qFormat/>
    <w:uiPriority w:val="0"/>
    <w:rPr>
      <w:rFonts w:ascii="Times New Roman" w:hAnsi="Times New Roman"/>
      <w:kern w:val="2"/>
      <w:sz w:val="18"/>
      <w:szCs w:val="18"/>
    </w:rPr>
  </w:style>
  <w:style w:type="character" w:customStyle="1" w:styleId="114">
    <w:name w:val="font21"/>
    <w:qFormat/>
    <w:uiPriority w:val="0"/>
    <w:rPr>
      <w:rFonts w:hint="eastAsia" w:ascii="宋体" w:hAnsi="宋体" w:eastAsia="宋体" w:cs="宋体"/>
      <w:color w:val="000000"/>
      <w:sz w:val="24"/>
      <w:szCs w:val="24"/>
      <w:u w:val="none"/>
    </w:rPr>
  </w:style>
  <w:style w:type="character" w:customStyle="1" w:styleId="115">
    <w:name w:val="HTML 预设格式 Char"/>
    <w:link w:val="35"/>
    <w:qFormat/>
    <w:uiPriority w:val="99"/>
    <w:rPr>
      <w:rFonts w:ascii="宋体" w:hAnsi="宋体" w:cs="宋体"/>
      <w:sz w:val="24"/>
      <w:szCs w:val="24"/>
    </w:rPr>
  </w:style>
  <w:style w:type="character" w:customStyle="1" w:styleId="116">
    <w:name w:val="页脚 Char"/>
    <w:link w:val="26"/>
    <w:qFormat/>
    <w:uiPriority w:val="0"/>
    <w:rPr>
      <w:sz w:val="18"/>
      <w:szCs w:val="18"/>
    </w:rPr>
  </w:style>
  <w:style w:type="character" w:customStyle="1" w:styleId="117">
    <w:name w:val="明显引用 Char"/>
    <w:link w:val="118"/>
    <w:qFormat/>
    <w:uiPriority w:val="0"/>
    <w:rPr>
      <w:rFonts w:ascii="宋体" w:hAnsi="华文细黑"/>
      <w:bCs/>
      <w:iCs/>
      <w:color w:val="000000"/>
      <w:kern w:val="2"/>
      <w:sz w:val="21"/>
    </w:rPr>
  </w:style>
  <w:style w:type="paragraph" w:customStyle="1" w:styleId="118">
    <w:name w:val="明显引用1"/>
    <w:basedOn w:val="1"/>
    <w:next w:val="1"/>
    <w:link w:val="117"/>
    <w:qFormat/>
    <w:uiPriority w:val="0"/>
    <w:pPr>
      <w:spacing w:line="360" w:lineRule="auto"/>
      <w:jc w:val="center"/>
    </w:pPr>
    <w:rPr>
      <w:rFonts w:ascii="宋体" w:hAnsi="华文细黑"/>
      <w:bCs/>
      <w:iCs/>
      <w:color w:val="000000"/>
      <w:szCs w:val="20"/>
    </w:rPr>
  </w:style>
  <w:style w:type="character" w:customStyle="1" w:styleId="119">
    <w:name w:val="apple-style-span"/>
    <w:basedOn w:val="43"/>
    <w:qFormat/>
    <w:uiPriority w:val="0"/>
  </w:style>
  <w:style w:type="character" w:customStyle="1" w:styleId="120">
    <w:name w:val="Char Char2"/>
    <w:qFormat/>
    <w:locked/>
    <w:uiPriority w:val="0"/>
    <w:rPr>
      <w:rFonts w:ascii="宋体" w:hAnsi="宋体" w:eastAsia="宋体"/>
      <w:sz w:val="24"/>
      <w:szCs w:val="24"/>
      <w:lang w:bidi="ar-SA"/>
    </w:rPr>
  </w:style>
  <w:style w:type="character" w:customStyle="1" w:styleId="121">
    <w:name w:val="纯文本 Char"/>
    <w:link w:val="23"/>
    <w:qFormat/>
    <w:uiPriority w:val="0"/>
    <w:rPr>
      <w:rFonts w:ascii="宋体" w:hAnsi="Courier New" w:eastAsia="宋体" w:cs="Courier New"/>
      <w:szCs w:val="21"/>
    </w:rPr>
  </w:style>
  <w:style w:type="character" w:customStyle="1" w:styleId="122">
    <w:name w:val="font91"/>
    <w:qFormat/>
    <w:uiPriority w:val="0"/>
    <w:rPr>
      <w:rFonts w:hint="default" w:ascii="Times New Roman" w:hAnsi="Times New Roman" w:cs="Times New Roman"/>
      <w:color w:val="000000"/>
      <w:sz w:val="20"/>
      <w:szCs w:val="20"/>
      <w:u w:val="none"/>
    </w:rPr>
  </w:style>
  <w:style w:type="character" w:customStyle="1" w:styleId="123">
    <w:name w:val="Char Char16"/>
    <w:qFormat/>
    <w:locked/>
    <w:uiPriority w:val="0"/>
    <w:rPr>
      <w:rFonts w:ascii="Arial" w:hAnsi="Arial" w:eastAsia="黑体"/>
      <w:b/>
      <w:kern w:val="2"/>
      <w:sz w:val="24"/>
      <w:szCs w:val="24"/>
      <w:lang w:bidi="ar-SA"/>
    </w:rPr>
  </w:style>
  <w:style w:type="character" w:customStyle="1" w:styleId="124">
    <w:name w:val="正文文本缩进 2 Char2"/>
    <w:semiHidden/>
    <w:qFormat/>
    <w:uiPriority w:val="99"/>
    <w:rPr>
      <w:rFonts w:ascii="Times New Roman" w:hAnsi="Times New Roman"/>
      <w:kern w:val="2"/>
      <w:sz w:val="21"/>
      <w:szCs w:val="24"/>
    </w:rPr>
  </w:style>
  <w:style w:type="character" w:customStyle="1" w:styleId="125">
    <w:name w:val="A4"/>
    <w:qFormat/>
    <w:uiPriority w:val="0"/>
    <w:rPr>
      <w:rFonts w:ascii="新宋体" w:eastAsia="新宋体" w:cs="新宋体"/>
      <w:color w:val="000000"/>
      <w:lang w:bidi="ar-SA"/>
    </w:rPr>
  </w:style>
  <w:style w:type="character" w:customStyle="1" w:styleId="126">
    <w:name w:val="标题 2 Char"/>
    <w:link w:val="5"/>
    <w:qFormat/>
    <w:uiPriority w:val="0"/>
    <w:rPr>
      <w:rFonts w:ascii="Arial" w:hAnsi="Arial" w:eastAsia="黑体"/>
      <w:b/>
      <w:bCs/>
      <w:kern w:val="2"/>
      <w:sz w:val="32"/>
      <w:szCs w:val="32"/>
      <w:lang w:val="en-US" w:eastAsia="zh-CN" w:bidi="ar-SA"/>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脚 Char1"/>
    <w:semiHidden/>
    <w:qFormat/>
    <w:uiPriority w:val="99"/>
    <w:rPr>
      <w:rFonts w:ascii="Times New Roman" w:hAnsi="Times New Roman" w:eastAsia="宋体" w:cs="Times New Roman"/>
      <w:sz w:val="18"/>
      <w:szCs w:val="18"/>
    </w:rPr>
  </w:style>
  <w:style w:type="character" w:customStyle="1" w:styleId="129">
    <w:name w:val="正文文本 (2)_"/>
    <w:link w:val="130"/>
    <w:qFormat/>
    <w:uiPriority w:val="0"/>
    <w:rPr>
      <w:rFonts w:eastAsia="Times New Roman"/>
      <w:kern w:val="0"/>
      <w:sz w:val="20"/>
      <w:szCs w:val="20"/>
    </w:rPr>
  </w:style>
  <w:style w:type="paragraph" w:customStyle="1" w:styleId="130">
    <w:name w:val="正文文本 (2)"/>
    <w:basedOn w:val="1"/>
    <w:link w:val="129"/>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1">
    <w:name w:val="文档结构图 Char"/>
    <w:link w:val="16"/>
    <w:semiHidden/>
    <w:qFormat/>
    <w:uiPriority w:val="0"/>
    <w:rPr>
      <w:rFonts w:ascii="Times New Roman" w:hAnsi="Times New Roman"/>
      <w:kern w:val="2"/>
      <w:sz w:val="21"/>
      <w:szCs w:val="24"/>
      <w:shd w:val="clear" w:color="auto" w:fill="000080"/>
    </w:rPr>
  </w:style>
  <w:style w:type="character" w:customStyle="1" w:styleId="132">
    <w:name w:val="正文文本缩进 3 Char1"/>
    <w:semiHidden/>
    <w:qFormat/>
    <w:uiPriority w:val="99"/>
    <w:rPr>
      <w:rFonts w:ascii="Times New Roman" w:hAnsi="Times New Roman"/>
      <w:kern w:val="2"/>
      <w:sz w:val="16"/>
      <w:szCs w:val="16"/>
    </w:rPr>
  </w:style>
  <w:style w:type="character" w:customStyle="1" w:styleId="133">
    <w:name w:val="正文文本 3 Char"/>
    <w:link w:val="18"/>
    <w:qFormat/>
    <w:uiPriority w:val="0"/>
    <w:rPr>
      <w:rFonts w:ascii="Times New Roman" w:hAnsi="Times New Roman"/>
      <w:b/>
      <w:bCs/>
      <w:sz w:val="24"/>
      <w:szCs w:val="24"/>
    </w:rPr>
  </w:style>
  <w:style w:type="character" w:customStyle="1" w:styleId="134">
    <w:name w:val="批注主题 Char1"/>
    <w:semiHidden/>
    <w:qFormat/>
    <w:uiPriority w:val="99"/>
    <w:rPr>
      <w:rFonts w:ascii="Times New Roman" w:hAnsi="Times New Roman"/>
      <w:b/>
      <w:bCs/>
      <w:kern w:val="2"/>
      <w:sz w:val="21"/>
      <w:szCs w:val="24"/>
    </w:rPr>
  </w:style>
  <w:style w:type="character" w:customStyle="1" w:styleId="135">
    <w:name w:val="页眉 Char1"/>
    <w:semiHidden/>
    <w:qFormat/>
    <w:uiPriority w:val="99"/>
    <w:rPr>
      <w:rFonts w:ascii="Times New Roman" w:hAnsi="Times New Roman" w:eastAsia="宋体" w:cs="Times New Roman"/>
      <w:sz w:val="18"/>
      <w:szCs w:val="18"/>
    </w:rPr>
  </w:style>
  <w:style w:type="character" w:customStyle="1" w:styleId="136">
    <w:name w:val="font11"/>
    <w:qFormat/>
    <w:uiPriority w:val="0"/>
    <w:rPr>
      <w:rFonts w:hint="default" w:ascii="Times New Roman" w:hAnsi="Times New Roman" w:cs="Times New Roman"/>
      <w:color w:val="000000"/>
      <w:sz w:val="24"/>
      <w:szCs w:val="24"/>
      <w:u w:val="none"/>
    </w:rPr>
  </w:style>
  <w:style w:type="character" w:customStyle="1" w:styleId="137">
    <w:name w:val="Char Char3"/>
    <w:qFormat/>
    <w:locked/>
    <w:uiPriority w:val="0"/>
    <w:rPr>
      <w:rFonts w:ascii="宋体" w:hAnsi="宋体" w:eastAsia="宋体"/>
      <w:sz w:val="24"/>
      <w:szCs w:val="24"/>
      <w:lang w:bidi="ar-SA"/>
    </w:rPr>
  </w:style>
  <w:style w:type="character" w:customStyle="1" w:styleId="138">
    <w:name w:val="标题 8 Char"/>
    <w:link w:val="12"/>
    <w:qFormat/>
    <w:uiPriority w:val="0"/>
    <w:rPr>
      <w:rFonts w:ascii="Arial" w:hAnsi="Arial" w:eastAsia="黑体"/>
      <w:kern w:val="2"/>
      <w:sz w:val="24"/>
      <w:szCs w:val="24"/>
    </w:rPr>
  </w:style>
  <w:style w:type="character" w:customStyle="1" w:styleId="139">
    <w:name w:val="font31"/>
    <w:qFormat/>
    <w:uiPriority w:val="0"/>
    <w:rPr>
      <w:rFonts w:hint="default" w:ascii="Times New Roman" w:hAnsi="Times New Roman" w:cs="Times New Roman"/>
      <w:color w:val="000000"/>
      <w:sz w:val="24"/>
      <w:szCs w:val="24"/>
      <w:u w:val="none"/>
    </w:rPr>
  </w:style>
  <w:style w:type="character" w:customStyle="1" w:styleId="140">
    <w:name w:val="宏文本 Char1"/>
    <w:semiHidden/>
    <w:qFormat/>
    <w:uiPriority w:val="99"/>
    <w:rPr>
      <w:rFonts w:ascii="Courier New" w:hAnsi="Courier New" w:cs="Courier New"/>
      <w:kern w:val="2"/>
      <w:sz w:val="24"/>
      <w:szCs w:val="24"/>
    </w:rPr>
  </w:style>
  <w:style w:type="character" w:customStyle="1" w:styleId="141">
    <w:name w:val="普通文字 Char Char3"/>
    <w:qFormat/>
    <w:uiPriority w:val="0"/>
    <w:rPr>
      <w:rFonts w:ascii="宋体" w:hAnsi="Courier New" w:eastAsia="宋体" w:cs="Courier New"/>
      <w:szCs w:val="21"/>
    </w:rPr>
  </w:style>
  <w:style w:type="character" w:customStyle="1" w:styleId="142">
    <w:name w:val="Char Char13"/>
    <w:qFormat/>
    <w:locked/>
    <w:uiPriority w:val="0"/>
    <w:rPr>
      <w:rFonts w:ascii="Arial" w:hAnsi="Arial" w:eastAsia="黑体"/>
      <w:kern w:val="2"/>
      <w:sz w:val="21"/>
      <w:szCs w:val="24"/>
      <w:lang w:bidi="ar-SA"/>
    </w:rPr>
  </w:style>
  <w:style w:type="character" w:customStyle="1" w:styleId="143">
    <w:name w:val="font01"/>
    <w:qFormat/>
    <w:uiPriority w:val="0"/>
    <w:rPr>
      <w:rFonts w:hint="eastAsia" w:ascii="宋体" w:hAnsi="宋体" w:eastAsia="宋体" w:cs="宋体"/>
      <w:color w:val="000000"/>
      <w:sz w:val="24"/>
      <w:szCs w:val="24"/>
      <w:u w:val="none"/>
    </w:rPr>
  </w:style>
  <w:style w:type="character" w:customStyle="1" w:styleId="144">
    <w:name w:val="正文文本缩进 3 Char2"/>
    <w:semiHidden/>
    <w:qFormat/>
    <w:uiPriority w:val="99"/>
    <w:rPr>
      <w:rFonts w:ascii="Times New Roman" w:hAnsi="Times New Roman"/>
      <w:kern w:val="2"/>
      <w:sz w:val="16"/>
      <w:szCs w:val="16"/>
    </w:rPr>
  </w:style>
  <w:style w:type="character" w:customStyle="1" w:styleId="145">
    <w:name w:val="HTML 预设格式 Char1"/>
    <w:semiHidden/>
    <w:qFormat/>
    <w:uiPriority w:val="99"/>
    <w:rPr>
      <w:rFonts w:ascii="Courier New" w:hAnsi="Courier New" w:cs="Courier New"/>
      <w:kern w:val="2"/>
    </w:rPr>
  </w:style>
  <w:style w:type="character" w:customStyle="1" w:styleId="146">
    <w:name w:val="正文文本 2 Char"/>
    <w:link w:val="34"/>
    <w:qFormat/>
    <w:uiPriority w:val="0"/>
    <w:rPr>
      <w:rFonts w:ascii="Times New Roman" w:hAnsi="Times New Roman"/>
      <w:szCs w:val="24"/>
    </w:rPr>
  </w:style>
  <w:style w:type="paragraph" w:customStyle="1" w:styleId="147">
    <w:name w:val="List Paragraph1"/>
    <w:basedOn w:val="1"/>
    <w:qFormat/>
    <w:uiPriority w:val="0"/>
    <w:pPr>
      <w:ind w:firstLine="420" w:firstLineChars="200"/>
    </w:pPr>
  </w:style>
  <w:style w:type="paragraph" w:customStyle="1" w:styleId="148">
    <w:name w:val="Char"/>
    <w:basedOn w:val="1"/>
    <w:qFormat/>
    <w:uiPriority w:val="0"/>
  </w:style>
  <w:style w:type="paragraph" w:customStyle="1" w:styleId="149">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2">
    <w:name w:val="Char1"/>
    <w:basedOn w:val="1"/>
    <w:qFormat/>
    <w:uiPriority w:val="0"/>
    <w:rPr>
      <w:szCs w:val="21"/>
    </w:rPr>
  </w:style>
  <w:style w:type="paragraph" w:customStyle="1" w:styleId="15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4">
    <w:name w:val="列出段落11"/>
    <w:basedOn w:val="1"/>
    <w:qFormat/>
    <w:uiPriority w:val="0"/>
    <w:pPr>
      <w:ind w:firstLine="420" w:firstLineChars="200"/>
    </w:pPr>
  </w:style>
  <w:style w:type="paragraph" w:customStyle="1" w:styleId="155">
    <w:name w:val="Char Char Char Char"/>
    <w:basedOn w:val="1"/>
    <w:qFormat/>
    <w:uiPriority w:val="0"/>
  </w:style>
  <w:style w:type="paragraph" w:customStyle="1" w:styleId="156">
    <w:name w:val="三级条标题"/>
    <w:basedOn w:val="157"/>
    <w:next w:val="158"/>
    <w:qFormat/>
    <w:uiPriority w:val="0"/>
    <w:pPr>
      <w:outlineLvl w:val="4"/>
    </w:pPr>
  </w:style>
  <w:style w:type="paragraph" w:customStyle="1" w:styleId="157">
    <w:name w:val="二级条标题"/>
    <w:basedOn w:val="1"/>
    <w:next w:val="1"/>
    <w:qFormat/>
    <w:uiPriority w:val="0"/>
    <w:pPr>
      <w:widowControl/>
      <w:jc w:val="left"/>
      <w:outlineLvl w:val="3"/>
    </w:pPr>
    <w:rPr>
      <w:rFonts w:ascii="宋体" w:hAnsi="宋体"/>
      <w:color w:val="000000"/>
      <w:kern w:val="0"/>
      <w:szCs w:val="20"/>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纯文本1"/>
    <w:basedOn w:val="1"/>
    <w:qFormat/>
    <w:uiPriority w:val="0"/>
    <w:rPr>
      <w:rFonts w:ascii="宋体" w:hAnsi="Courier New" w:cs="Courier New"/>
      <w:kern w:val="0"/>
      <w:sz w:val="20"/>
      <w:szCs w:val="21"/>
    </w:rPr>
  </w:style>
  <w:style w:type="paragraph" w:customStyle="1" w:styleId="164">
    <w:name w:val="五级条标题"/>
    <w:basedOn w:val="165"/>
    <w:next w:val="158"/>
    <w:qFormat/>
    <w:uiPriority w:val="0"/>
    <w:pPr>
      <w:outlineLvl w:val="6"/>
    </w:pPr>
  </w:style>
  <w:style w:type="paragraph" w:customStyle="1" w:styleId="165">
    <w:name w:val="四级条标题"/>
    <w:basedOn w:val="156"/>
    <w:next w:val="158"/>
    <w:qFormat/>
    <w:uiPriority w:val="0"/>
    <w:pPr>
      <w:outlineLvl w:val="5"/>
    </w:pPr>
  </w:style>
  <w:style w:type="paragraph" w:customStyle="1" w:styleId="166">
    <w:name w:val="Char11"/>
    <w:basedOn w:val="1"/>
    <w:qFormat/>
    <w:uiPriority w:val="0"/>
    <w:rPr>
      <w:szCs w:val="21"/>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样式 首行缩进:  2 字符"/>
    <w:basedOn w:val="1"/>
    <w:qFormat/>
    <w:uiPriority w:val="0"/>
    <w:pPr>
      <w:spacing w:line="400" w:lineRule="exact"/>
      <w:ind w:firstLine="200" w:firstLineChars="200"/>
    </w:pPr>
    <w:rPr>
      <w:rFonts w:cs="宋体"/>
      <w:sz w:val="24"/>
    </w:rPr>
  </w:style>
  <w:style w:type="paragraph" w:customStyle="1" w:styleId="170">
    <w:name w:val="1"/>
    <w:basedOn w:val="1"/>
    <w:next w:val="23"/>
    <w:qFormat/>
    <w:uiPriority w:val="0"/>
    <w:rPr>
      <w:rFonts w:ascii="宋体" w:hAnsi="Courier New"/>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列出段落21"/>
    <w:basedOn w:val="1"/>
    <w:qFormat/>
    <w:uiPriority w:val="0"/>
    <w:pPr>
      <w:ind w:firstLine="420" w:firstLineChars="200"/>
    </w:pPr>
    <w:rPr>
      <w:rFonts w:ascii="Calibri" w:hAnsi="Calibri"/>
      <w:szCs w:val="22"/>
    </w:rPr>
  </w:style>
  <w:style w:type="paragraph" w:customStyle="1" w:styleId="176">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Char2"/>
    <w:basedOn w:val="1"/>
    <w:qFormat/>
    <w:uiPriority w:val="0"/>
  </w:style>
  <w:style w:type="paragraph" w:customStyle="1" w:styleId="181">
    <w:name w:val="Char12"/>
    <w:basedOn w:val="16"/>
    <w:qFormat/>
    <w:uiPriority w:val="0"/>
    <w:pPr>
      <w:widowControl/>
      <w:ind w:firstLine="454"/>
      <w:jc w:val="left"/>
    </w:pPr>
    <w:rPr>
      <w:rFonts w:ascii="Tahoma" w:hAnsi="Tahoma" w:cs="宋体"/>
      <w:kern w:val="0"/>
      <w:sz w:val="24"/>
      <w:szCs w:val="20"/>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Char3"/>
    <w:basedOn w:val="1"/>
    <w:qFormat/>
    <w:uiPriority w:val="0"/>
  </w:style>
  <w:style w:type="paragraph" w:styleId="18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5">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1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7">
    <w:name w:val="p0"/>
    <w:basedOn w:val="1"/>
    <w:qFormat/>
    <w:uiPriority w:val="0"/>
    <w:pPr>
      <w:widowControl/>
    </w:pPr>
    <w:rPr>
      <w:kern w:val="0"/>
      <w:szCs w:val="21"/>
    </w:rPr>
  </w:style>
  <w:style w:type="paragraph" w:customStyle="1" w:styleId="188">
    <w:name w:val="正文段"/>
    <w:basedOn w:val="1"/>
    <w:qFormat/>
    <w:uiPriority w:val="0"/>
    <w:pPr>
      <w:widowControl/>
      <w:snapToGrid w:val="0"/>
      <w:spacing w:afterLines="50"/>
      <w:ind w:firstLine="200" w:firstLineChars="200"/>
    </w:pPr>
    <w:rPr>
      <w:kern w:val="0"/>
      <w:sz w:val="24"/>
      <w:szCs w:val="20"/>
    </w:rPr>
  </w:style>
  <w:style w:type="paragraph" w:customStyle="1" w:styleId="18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4">
    <w:name w:val="Char Char Char Char Char Char Char"/>
    <w:basedOn w:val="1"/>
    <w:qFormat/>
    <w:uiPriority w:val="0"/>
    <w:pPr>
      <w:tabs>
        <w:tab w:val="left" w:pos="432"/>
      </w:tabs>
      <w:ind w:left="432" w:hanging="432"/>
    </w:pPr>
    <w:rPr>
      <w:rFonts w:ascii="Tahoma" w:hAnsi="Tahoma"/>
      <w:sz w:val="24"/>
      <w:szCs w:val="20"/>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一级条标题"/>
    <w:next w:val="158"/>
    <w:qFormat/>
    <w:uiPriority w:val="0"/>
    <w:pPr>
      <w:ind w:left="284"/>
      <w:outlineLvl w:val="2"/>
    </w:pPr>
    <w:rPr>
      <w:rFonts w:ascii="Times New Roman" w:hAnsi="Times New Roman" w:eastAsia="黑体" w:cs="Times New Roman"/>
      <w:sz w:val="21"/>
      <w:lang w:val="en-US" w:eastAsia="zh-CN" w:bidi="ar-SA"/>
    </w:rPr>
  </w:style>
  <w:style w:type="paragraph" w:customStyle="1" w:styleId="197">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8">
    <w:name w:val="Char Char Char Char2"/>
    <w:basedOn w:val="1"/>
    <w:qFormat/>
    <w:uiPriority w:val="0"/>
  </w:style>
  <w:style w:type="paragraph" w:customStyle="1" w:styleId="199">
    <w:name w:val="正文首行缩进两字符"/>
    <w:basedOn w:val="1"/>
    <w:qFormat/>
    <w:uiPriority w:val="0"/>
    <w:pPr>
      <w:spacing w:line="360" w:lineRule="auto"/>
      <w:ind w:firstLine="200" w:firstLineChars="200"/>
    </w:pPr>
  </w:style>
  <w:style w:type="paragraph" w:customStyle="1" w:styleId="200">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1">
    <w:name w:val="Char Char Char Char Char Char Char1"/>
    <w:basedOn w:val="1"/>
    <w:qFormat/>
    <w:uiPriority w:val="0"/>
  </w:style>
  <w:style w:type="paragraph" w:customStyle="1" w:styleId="202">
    <w:name w:val="Char Char Char Char1"/>
    <w:basedOn w:val="1"/>
    <w:qFormat/>
    <w:uiPriority w:val="0"/>
  </w:style>
  <w:style w:type="paragraph" w:customStyle="1" w:styleId="203">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4">
    <w:name w:val="Char Char Char1"/>
    <w:basedOn w:val="1"/>
    <w:qFormat/>
    <w:uiPriority w:val="0"/>
    <w:rPr>
      <w:rFonts w:ascii="Tahoma" w:hAnsi="Tahoma"/>
      <w:sz w:val="24"/>
      <w:szCs w:val="20"/>
    </w:rPr>
  </w:style>
  <w:style w:type="paragraph" w:customStyle="1" w:styleId="20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样式3"/>
    <w:basedOn w:val="80"/>
    <w:qFormat/>
    <w:uiPriority w:val="0"/>
    <w:pPr>
      <w:spacing w:line="360" w:lineRule="auto"/>
      <w:ind w:left="900" w:firstLine="0" w:firstLineChars="0"/>
      <w:jc w:val="center"/>
    </w:pPr>
    <w:rPr>
      <w:rFonts w:ascii="宋体" w:hAnsi="宋体"/>
      <w:sz w:val="24"/>
      <w:szCs w:val="28"/>
      <w:lang w:val="zh-CN"/>
    </w:rPr>
  </w:style>
  <w:style w:type="paragraph" w:customStyle="1" w:styleId="207">
    <w:name w:val="Table Paragraph"/>
    <w:basedOn w:val="1"/>
    <w:qFormat/>
    <w:uiPriority w:val="1"/>
    <w:pPr>
      <w:ind w:left="100" w:right="-10"/>
      <w:jc w:val="left"/>
    </w:pPr>
    <w:rPr>
      <w:rFonts w:ascii="宋体" w:hAnsi="宋体" w:cs="宋体"/>
      <w:kern w:val="0"/>
      <w:sz w:val="22"/>
      <w:szCs w:val="22"/>
      <w:lang w:eastAsia="en-US"/>
    </w:rPr>
  </w:style>
  <w:style w:type="paragraph" w:customStyle="1" w:styleId="20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0">
    <w:name w:val="正文首行缩进 2 Char"/>
    <w:basedOn w:val="55"/>
    <w:link w:val="40"/>
    <w:qFormat/>
    <w:uiPriority w:val="0"/>
    <w:rPr>
      <w:rFonts w:ascii="Times New Roman" w:hAnsi="Times New Roman" w:eastAsia="仿宋_GB2312" w:cs="Times New Roman"/>
      <w:kern w:val="2"/>
      <w:sz w:val="21"/>
      <w:szCs w:val="24"/>
    </w:rPr>
  </w:style>
  <w:style w:type="paragraph" w:customStyle="1" w:styleId="211">
    <w:name w:val="引言二级条标题"/>
    <w:basedOn w:val="212"/>
    <w:next w:val="158"/>
    <w:qFormat/>
    <w:uiPriority w:val="0"/>
    <w:pPr>
      <w:ind w:left="0" w:firstLine="0"/>
    </w:pPr>
    <w:rPr>
      <w:rFonts w:eastAsia="宋体"/>
    </w:rPr>
  </w:style>
  <w:style w:type="paragraph" w:customStyle="1" w:styleId="212">
    <w:name w:val="引言一级条标题"/>
    <w:basedOn w:val="1"/>
    <w:next w:val="158"/>
    <w:qFormat/>
    <w:uiPriority w:val="0"/>
    <w:pPr>
      <w:widowControl/>
      <w:spacing w:before="100" w:beforeAutospacing="1" w:after="100" w:afterAutospacing="1"/>
      <w:ind w:left="900" w:hanging="900"/>
    </w:pPr>
    <w:rPr>
      <w:rFonts w:eastAsia="黑体"/>
      <w:b/>
      <w:bCs/>
    </w:rPr>
  </w:style>
  <w:style w:type="paragraph" w:customStyle="1" w:styleId="213">
    <w:name w:val="表格文字"/>
    <w:basedOn w:val="1"/>
    <w:qFormat/>
    <w:uiPriority w:val="99"/>
    <w:pPr>
      <w:spacing w:before="25" w:after="25"/>
      <w:jc w:val="left"/>
    </w:pPr>
    <w:rPr>
      <w:bCs/>
      <w:spacing w:val="10"/>
      <w:kern w:val="0"/>
      <w:sz w:val="24"/>
    </w:rPr>
  </w:style>
  <w:style w:type="character" w:customStyle="1" w:styleId="214">
    <w:name w:val="font61"/>
    <w:basedOn w:val="43"/>
    <w:qFormat/>
    <w:uiPriority w:val="0"/>
    <w:rPr>
      <w:rFonts w:ascii="Arial" w:hAnsi="Arial" w:cs="Arial"/>
      <w:color w:val="000000"/>
      <w:sz w:val="20"/>
      <w:szCs w:val="20"/>
      <w:u w:val="none"/>
    </w:rPr>
  </w:style>
  <w:style w:type="paragraph" w:customStyle="1" w:styleId="215">
    <w:name w:val="Table Text"/>
    <w:basedOn w:val="1"/>
    <w:semiHidden/>
    <w:qFormat/>
    <w:uiPriority w:val="0"/>
    <w:rPr>
      <w:rFonts w:ascii="宋体" w:hAnsi="宋体" w:cs="宋体"/>
      <w:sz w:val="20"/>
      <w:szCs w:val="20"/>
      <w:lang w:eastAsia="en-US"/>
    </w:rPr>
  </w:style>
  <w:style w:type="table" w:customStyle="1" w:styleId="2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127</Pages>
  <Words>30972</Words>
  <Characters>32473</Characters>
  <Lines>645</Lines>
  <Paragraphs>181</Paragraphs>
  <TotalTime>15</TotalTime>
  <ScaleCrop>false</ScaleCrop>
  <LinksUpToDate>false</LinksUpToDate>
  <CharactersWithSpaces>32812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2025-04-17T09:59:00Z</dcterms:created>
  <dc:creator>广西智瀚</dc:creator>
  <cp:lastModifiedBy>张冬</cp:lastModifiedBy>
  <cp:lastPrinted>2018-11-30T07:27:00Z</cp:lastPrinted>
  <dcterms:modified xsi:type="dcterms:W3CDTF">2025-11-20T09:50:47Z</dcterms:modified>
  <dc:title>竞争性磋商文件规范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BD2D2514CCE545EBB7ACAA9312278B93_13</vt:lpwstr>
  </property>
  <property fmtid="{D5CDD505-2E9C-101B-9397-08002B2CF9AE}" pid="4" name="KSOTemplateDocerSaveRecord">
    <vt:lpwstr>eyJoZGlkIjoiNzU3YTg2MjlhNTgzYjFkNTMyODU0ZDVlYTQ2NWU4MDciLCJ1c2VySWQiOiI1NDY0ODI0ODkifQ==</vt:lpwstr>
  </property>
</Properties>
</file>