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eastAsia="宋体"/>
          <w:b/>
          <w:bCs/>
          <w:sz w:val="44"/>
          <w:szCs w:val="44"/>
        </w:rPr>
      </w:pPr>
    </w:p>
    <w:p>
      <w:pPr>
        <w:ind w:firstLine="883"/>
        <w:jc w:val="center"/>
        <w:rPr>
          <w:rFonts w:eastAsia="宋体"/>
          <w:b/>
          <w:bCs/>
          <w:sz w:val="44"/>
          <w:szCs w:val="44"/>
        </w:rPr>
      </w:pPr>
    </w:p>
    <w:p>
      <w:pPr>
        <w:ind w:firstLine="883"/>
        <w:jc w:val="center"/>
        <w:rPr>
          <w:rFonts w:eastAsia="宋体"/>
          <w:b/>
          <w:bCs/>
          <w:sz w:val="44"/>
          <w:szCs w:val="44"/>
        </w:rPr>
      </w:pPr>
    </w:p>
    <w:p>
      <w:pPr>
        <w:ind w:firstLine="883"/>
        <w:jc w:val="center"/>
        <w:rPr>
          <w:rFonts w:eastAsia="宋体"/>
          <w:b/>
          <w:bCs/>
          <w:sz w:val="44"/>
          <w:szCs w:val="44"/>
        </w:rPr>
      </w:pPr>
    </w:p>
    <w:p>
      <w:pPr>
        <w:spacing w:line="240" w:lineRule="auto"/>
        <w:ind w:firstLine="0" w:firstLineChars="0"/>
        <w:jc w:val="center"/>
        <w:rPr>
          <w:rFonts w:ascii="方正小标宋简体" w:eastAsia="方正小标宋简体"/>
          <w:sz w:val="44"/>
          <w:szCs w:val="44"/>
        </w:rPr>
      </w:pPr>
      <w:bookmarkStart w:id="0" w:name="_Hlk108186168"/>
      <w:bookmarkStart w:id="1" w:name="_Hlk100238638"/>
      <w:r>
        <w:rPr>
          <w:rFonts w:hint="eastAsia" w:ascii="方正小标宋简体" w:eastAsia="方正小标宋简体"/>
          <w:sz w:val="44"/>
          <w:szCs w:val="44"/>
        </w:rPr>
        <w:t>广西</w:t>
      </w:r>
      <w:bookmarkEnd w:id="0"/>
      <w:r>
        <w:rPr>
          <w:rFonts w:hint="eastAsia" w:ascii="方正小标宋简体" w:eastAsia="方正小标宋简体"/>
          <w:sz w:val="44"/>
          <w:szCs w:val="44"/>
        </w:rPr>
        <w:t>“十四五”渔业高质量发展规划</w:t>
      </w:r>
      <w:bookmarkEnd w:id="1"/>
    </w:p>
    <w:p>
      <w:pPr>
        <w:ind w:firstLine="0" w:firstLineChars="0"/>
        <w:jc w:val="center"/>
        <w:rPr>
          <w:rFonts w:eastAsia="方正小标宋_GBK"/>
          <w:b/>
          <w:bCs/>
          <w:sz w:val="48"/>
          <w:szCs w:val="48"/>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center"/>
        <w:rPr>
          <w:b/>
          <w:bCs/>
          <w:szCs w:val="32"/>
        </w:rPr>
      </w:pPr>
    </w:p>
    <w:p>
      <w:pPr>
        <w:ind w:firstLine="0" w:firstLineChars="0"/>
        <w:jc w:val="left"/>
        <w:rPr>
          <w:rFonts w:ascii="黑体" w:hAnsi="黑体" w:eastAsia="黑体"/>
          <w:szCs w:val="32"/>
        </w:rPr>
      </w:pPr>
    </w:p>
    <w:p>
      <w:pPr>
        <w:ind w:firstLine="643"/>
        <w:jc w:val="center"/>
        <w:rPr>
          <w:rFonts w:eastAsia="宋体"/>
          <w:b/>
          <w:bCs/>
          <w:color w:val="000000"/>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47"/>
        <w:jc w:val="center"/>
        <w:rPr>
          <w:rFonts w:ascii="Times New Roman" w:hAnsi="Times New Roman" w:eastAsia="黑体"/>
          <w:b w:val="0"/>
          <w:color w:val="000000"/>
          <w:sz w:val="36"/>
          <w:szCs w:val="36"/>
          <w:lang w:val="zh-CN"/>
        </w:rPr>
      </w:pPr>
      <w:r>
        <w:rPr>
          <w:rFonts w:hint="eastAsia" w:ascii="Times New Roman" w:hAnsi="Times New Roman" w:eastAsia="黑体"/>
          <w:b w:val="0"/>
          <w:color w:val="000000"/>
          <w:sz w:val="36"/>
          <w:szCs w:val="36"/>
          <w:lang w:val="zh-CN"/>
        </w:rPr>
        <w:t>目</w:t>
      </w:r>
      <w:r>
        <w:rPr>
          <w:rFonts w:ascii="Times New Roman" w:hAnsi="Times New Roman" w:eastAsia="黑体"/>
          <w:b w:val="0"/>
          <w:color w:val="000000"/>
          <w:sz w:val="36"/>
          <w:szCs w:val="36"/>
          <w:lang w:val="zh-CN"/>
        </w:rPr>
        <w:t xml:space="preserve">  </w:t>
      </w:r>
      <w:r>
        <w:rPr>
          <w:rFonts w:hint="eastAsia" w:ascii="Times New Roman" w:hAnsi="Times New Roman" w:eastAsia="黑体"/>
          <w:b w:val="0"/>
          <w:color w:val="000000"/>
          <w:sz w:val="36"/>
          <w:szCs w:val="36"/>
          <w:lang w:val="zh-CN"/>
        </w:rPr>
        <w:t>录</w:t>
      </w:r>
    </w:p>
    <w:p>
      <w:pPr>
        <w:pStyle w:val="14"/>
        <w:tabs>
          <w:tab w:val="right" w:leader="dot" w:pos="9021"/>
        </w:tabs>
        <w:ind w:firstLine="0" w:firstLineChars="0"/>
        <w:rPr>
          <w:rFonts w:eastAsia="黑体"/>
          <w:color w:val="000000"/>
          <w:sz w:val="21"/>
        </w:rPr>
      </w:pPr>
      <w:r>
        <w:rPr>
          <w:rFonts w:eastAsia="楷体"/>
          <w:color w:val="000000"/>
        </w:rPr>
        <w:fldChar w:fldCharType="begin"/>
      </w:r>
      <w:r>
        <w:rPr>
          <w:rFonts w:eastAsia="楷体"/>
          <w:color w:val="000000"/>
        </w:rPr>
        <w:instrText xml:space="preserve"> TOC \o "1-2" \h \z \u </w:instrText>
      </w:r>
      <w:r>
        <w:rPr>
          <w:rFonts w:eastAsia="楷体"/>
          <w:color w:val="000000"/>
        </w:rPr>
        <w:fldChar w:fldCharType="separate"/>
      </w:r>
      <w:r>
        <w:fldChar w:fldCharType="begin"/>
      </w:r>
      <w:r>
        <w:instrText xml:space="preserve"> HYPERLINK \l "_Toc112791211" </w:instrText>
      </w:r>
      <w:r>
        <w:fldChar w:fldCharType="separate"/>
      </w:r>
      <w:r>
        <w:rPr>
          <w:rStyle w:val="30"/>
          <w:rFonts w:hint="eastAsia" w:eastAsia="黑体"/>
          <w:color w:val="000000"/>
        </w:rPr>
        <w:t>前</w:t>
      </w:r>
      <w:r>
        <w:rPr>
          <w:rStyle w:val="30"/>
          <w:rFonts w:eastAsia="黑体"/>
          <w:color w:val="000000"/>
        </w:rPr>
        <w:t xml:space="preserve">  </w:t>
      </w:r>
      <w:r>
        <w:rPr>
          <w:rStyle w:val="30"/>
          <w:rFonts w:hint="eastAsia" w:eastAsia="黑体"/>
          <w:color w:val="000000"/>
        </w:rPr>
        <w:t>言</w:t>
      </w:r>
      <w:r>
        <w:rPr>
          <w:rFonts w:eastAsia="黑体"/>
          <w:color w:val="000000"/>
        </w:rPr>
        <w:tab/>
      </w:r>
      <w:r>
        <w:rPr>
          <w:rFonts w:eastAsia="黑体"/>
          <w:color w:val="000000"/>
        </w:rPr>
        <w:fldChar w:fldCharType="begin"/>
      </w:r>
      <w:r>
        <w:rPr>
          <w:rFonts w:eastAsia="黑体"/>
          <w:color w:val="000000"/>
        </w:rPr>
        <w:instrText xml:space="preserve"> PAGEREF _Toc112791211 \h </w:instrText>
      </w:r>
      <w:r>
        <w:rPr>
          <w:rFonts w:eastAsia="黑体"/>
          <w:color w:val="000000"/>
        </w:rPr>
        <w:fldChar w:fldCharType="separate"/>
      </w:r>
      <w:r>
        <w:rPr>
          <w:rFonts w:eastAsia="黑体"/>
          <w:color w:val="000000"/>
        </w:rPr>
        <w:t>1</w:t>
      </w:r>
      <w:r>
        <w:rPr>
          <w:rFonts w:eastAsia="黑体"/>
          <w:color w:val="000000"/>
        </w:rPr>
        <w:fldChar w:fldCharType="end"/>
      </w:r>
      <w:r>
        <w:rPr>
          <w:rFonts w:eastAsia="黑体"/>
          <w:color w:val="000000"/>
        </w:rPr>
        <w:fldChar w:fldCharType="end"/>
      </w:r>
    </w:p>
    <w:p>
      <w:pPr>
        <w:pStyle w:val="14"/>
        <w:tabs>
          <w:tab w:val="right" w:leader="dot" w:pos="9021"/>
        </w:tabs>
        <w:ind w:firstLine="0" w:firstLineChars="0"/>
        <w:rPr>
          <w:rFonts w:eastAsia="宋体"/>
          <w:color w:val="000000"/>
          <w:sz w:val="21"/>
        </w:rPr>
      </w:pPr>
      <w:r>
        <w:fldChar w:fldCharType="begin"/>
      </w:r>
      <w:r>
        <w:instrText xml:space="preserve"> HYPERLINK \l "_Toc112791212" </w:instrText>
      </w:r>
      <w:r>
        <w:fldChar w:fldCharType="separate"/>
      </w:r>
      <w:r>
        <w:rPr>
          <w:rStyle w:val="30"/>
          <w:rFonts w:hint="eastAsia" w:eastAsia="黑体"/>
          <w:color w:val="000000"/>
        </w:rPr>
        <w:t>第一章</w:t>
      </w:r>
      <w:r>
        <w:rPr>
          <w:rStyle w:val="30"/>
          <w:rFonts w:eastAsia="黑体"/>
          <w:color w:val="000000"/>
        </w:rPr>
        <w:t xml:space="preserve">  </w:t>
      </w:r>
      <w:r>
        <w:rPr>
          <w:rStyle w:val="30"/>
          <w:rFonts w:hint="eastAsia" w:eastAsia="黑体"/>
          <w:color w:val="000000"/>
        </w:rPr>
        <w:t>发展基础</w:t>
      </w:r>
      <w:r>
        <w:rPr>
          <w:rFonts w:eastAsia="黑体"/>
          <w:color w:val="000000"/>
        </w:rPr>
        <w:tab/>
      </w:r>
      <w:r>
        <w:rPr>
          <w:rFonts w:eastAsia="黑体"/>
          <w:color w:val="000000"/>
        </w:rPr>
        <w:fldChar w:fldCharType="begin"/>
      </w:r>
      <w:r>
        <w:rPr>
          <w:rFonts w:eastAsia="黑体"/>
          <w:color w:val="000000"/>
        </w:rPr>
        <w:instrText xml:space="preserve"> PAGEREF _Toc112791212 \h </w:instrText>
      </w:r>
      <w:r>
        <w:rPr>
          <w:rFonts w:eastAsia="黑体"/>
          <w:color w:val="000000"/>
        </w:rPr>
        <w:fldChar w:fldCharType="separate"/>
      </w:r>
      <w:r>
        <w:rPr>
          <w:rFonts w:eastAsia="黑体"/>
          <w:color w:val="000000"/>
        </w:rPr>
        <w:t>2</w:t>
      </w:r>
      <w:r>
        <w:rPr>
          <w:rFonts w:eastAsia="黑体"/>
          <w:color w:val="000000"/>
        </w:rPr>
        <w:fldChar w:fldCharType="end"/>
      </w:r>
      <w:r>
        <w:rPr>
          <w:rFonts w:eastAsia="黑体"/>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"_Toc112791213" </w:instrText>
      </w:r>
      <w:r>
        <w:fldChar w:fldCharType="separate"/>
      </w:r>
      <w:r>
        <w:rPr>
          <w:rStyle w:val="30"/>
          <w:rFonts w:hint="eastAsia"/>
          <w:color w:val="000000"/>
        </w:rPr>
        <w:t>一、</w:t>
      </w:r>
      <w:r>
        <w:rPr>
          <w:rStyle w:val="30"/>
          <w:color w:val="000000"/>
        </w:rPr>
        <w:t>“</w:t>
      </w:r>
      <w:r>
        <w:rPr>
          <w:rStyle w:val="30"/>
          <w:rFonts w:hint="eastAsia"/>
          <w:color w:val="000000"/>
        </w:rPr>
        <w:t>十三五</w:t>
      </w:r>
      <w:r>
        <w:rPr>
          <w:rStyle w:val="30"/>
          <w:color w:val="000000"/>
        </w:rPr>
        <w:t>”</w:t>
      </w:r>
      <w:r>
        <w:rPr>
          <w:rStyle w:val="30"/>
          <w:rFonts w:hint="eastAsia"/>
          <w:color w:val="000000"/>
        </w:rPr>
        <w:t>渔业发展主要成就</w:t>
      </w:r>
      <w:r>
        <w:rPr>
          <w:color w:val="000000"/>
        </w:rPr>
        <w:tab/>
      </w:r>
      <w:r>
        <w:rPr>
          <w:color w:val="000000"/>
        </w:rPr>
        <w:fldChar w:fldCharType="begin"/>
      </w:r>
      <w:r>
        <w:rPr>
          <w:color w:val="000000"/>
        </w:rPr>
        <w:instrText xml:space="preserve"> PAGEREF _Toc112791213 \h </w:instrText>
      </w:r>
      <w:r>
        <w:rPr>
          <w:color w:val="000000"/>
        </w:rPr>
        <w:fldChar w:fldCharType="separate"/>
      </w:r>
      <w:r>
        <w:rPr>
          <w:color w:val="000000"/>
        </w:rPr>
        <w:t>2</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"_Toc112791214" </w:instrText>
      </w:r>
      <w:r>
        <w:fldChar w:fldCharType="separate"/>
      </w:r>
      <w:r>
        <w:rPr>
          <w:rStyle w:val="30"/>
          <w:rFonts w:hint="eastAsia"/>
          <w:color w:val="000000"/>
        </w:rPr>
        <w:t>二、发展机遇</w:t>
      </w:r>
      <w:r>
        <w:rPr>
          <w:color w:val="000000"/>
        </w:rPr>
        <w:tab/>
      </w:r>
      <w:r>
        <w:rPr>
          <w:color w:val="000000"/>
        </w:rPr>
        <w:fldChar w:fldCharType="begin"/>
      </w:r>
      <w:r>
        <w:rPr>
          <w:color w:val="000000"/>
        </w:rPr>
        <w:instrText xml:space="preserve"> PAGEREF _Toc112791214 \h </w:instrText>
      </w:r>
      <w:r>
        <w:rPr>
          <w:color w:val="000000"/>
        </w:rPr>
        <w:fldChar w:fldCharType="separate"/>
      </w:r>
      <w:r>
        <w:rPr>
          <w:color w:val="000000"/>
        </w:rPr>
        <w:t>4</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"_Toc112791215" </w:instrText>
      </w:r>
      <w:r>
        <w:fldChar w:fldCharType="separate"/>
      </w:r>
      <w:r>
        <w:rPr>
          <w:rStyle w:val="30"/>
          <w:rFonts w:hint="eastAsia"/>
          <w:color w:val="000000"/>
        </w:rPr>
        <w:t>三、面临挑战</w:t>
      </w:r>
      <w:r>
        <w:rPr>
          <w:color w:val="000000"/>
        </w:rPr>
        <w:tab/>
      </w:r>
      <w:r>
        <w:rPr>
          <w:color w:val="000000"/>
        </w:rPr>
        <w:fldChar w:fldCharType="begin"/>
      </w:r>
      <w:r>
        <w:rPr>
          <w:color w:val="000000"/>
        </w:rPr>
        <w:instrText xml:space="preserve"> PAGEREF _Toc112791215 \h </w:instrText>
      </w:r>
      <w:r>
        <w:rPr>
          <w:color w:val="000000"/>
        </w:rPr>
        <w:fldChar w:fldCharType="separate"/>
      </w:r>
      <w:r>
        <w:rPr>
          <w:color w:val="000000"/>
        </w:rPr>
        <w:t>5</w:t>
      </w:r>
      <w:r>
        <w:rPr>
          <w:color w:val="000000"/>
        </w:rPr>
        <w:fldChar w:fldCharType="end"/>
      </w:r>
      <w:r>
        <w:rPr>
          <w:color w:val="000000"/>
        </w:rPr>
        <w:fldChar w:fldCharType="end"/>
      </w:r>
    </w:p>
    <w:p>
      <w:pPr>
        <w:pStyle w:val="14"/>
        <w:tabs>
          <w:tab w:val="right" w:leader="dot" w:pos="9021"/>
        </w:tabs>
        <w:ind w:firstLine="0" w:firstLineChars="0"/>
        <w:rPr>
          <w:rFonts w:eastAsia="黑体"/>
          <w:color w:val="000000"/>
          <w:sz w:val="21"/>
        </w:rPr>
      </w:pPr>
      <w:r>
        <w:fldChar w:fldCharType="begin"/>
      </w:r>
      <w:r>
        <w:instrText xml:space="preserve"> HYPERLINK \l "_Toc112791216" </w:instrText>
      </w:r>
      <w:r>
        <w:fldChar w:fldCharType="separate"/>
      </w:r>
      <w:r>
        <w:rPr>
          <w:rStyle w:val="30"/>
          <w:rFonts w:hint="eastAsia" w:eastAsia="黑体"/>
          <w:color w:val="000000"/>
        </w:rPr>
        <w:t>第二章</w:t>
      </w:r>
      <w:r>
        <w:rPr>
          <w:rStyle w:val="30"/>
          <w:rFonts w:eastAsia="黑体"/>
          <w:color w:val="000000"/>
        </w:rPr>
        <w:t xml:space="preserve">  </w:t>
      </w:r>
      <w:r>
        <w:rPr>
          <w:rStyle w:val="30"/>
          <w:rFonts w:hint="eastAsia" w:eastAsia="黑体"/>
          <w:color w:val="000000"/>
        </w:rPr>
        <w:t>总体要求</w:t>
      </w:r>
      <w:r>
        <w:rPr>
          <w:rFonts w:eastAsia="黑体"/>
          <w:color w:val="000000"/>
        </w:rPr>
        <w:tab/>
      </w:r>
      <w:r>
        <w:rPr>
          <w:rFonts w:eastAsia="黑体"/>
          <w:color w:val="000000"/>
        </w:rPr>
        <w:fldChar w:fldCharType="begin"/>
      </w:r>
      <w:r>
        <w:rPr>
          <w:rFonts w:eastAsia="黑体"/>
          <w:color w:val="000000"/>
        </w:rPr>
        <w:instrText xml:space="preserve"> PAGEREF _Toc112791216 \h </w:instrText>
      </w:r>
      <w:r>
        <w:rPr>
          <w:rFonts w:eastAsia="黑体"/>
          <w:color w:val="000000"/>
        </w:rPr>
        <w:fldChar w:fldCharType="separate"/>
      </w:r>
      <w:r>
        <w:rPr>
          <w:rFonts w:eastAsia="黑体"/>
          <w:color w:val="000000"/>
        </w:rPr>
        <w:t>6</w:t>
      </w:r>
      <w:r>
        <w:rPr>
          <w:rFonts w:eastAsia="黑体"/>
          <w:color w:val="000000"/>
        </w:rPr>
        <w:fldChar w:fldCharType="end"/>
      </w:r>
      <w:r>
        <w:rPr>
          <w:rFonts w:eastAsia="黑体"/>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"_Toc112791217" </w:instrText>
      </w:r>
      <w:r>
        <w:fldChar w:fldCharType="separate"/>
      </w:r>
      <w:r>
        <w:rPr>
          <w:rStyle w:val="30"/>
          <w:rFonts w:hint="eastAsia"/>
          <w:color w:val="000000"/>
        </w:rPr>
        <w:t>一、指导思想</w:t>
      </w:r>
      <w:r>
        <w:rPr>
          <w:color w:val="000000"/>
        </w:rPr>
        <w:tab/>
      </w:r>
      <w:r>
        <w:rPr>
          <w:color w:val="000000"/>
        </w:rPr>
        <w:fldChar w:fldCharType="begin"/>
      </w:r>
      <w:r>
        <w:rPr>
          <w:color w:val="000000"/>
        </w:rPr>
        <w:instrText xml:space="preserve"> PAGEREF _Toc112791217 \h </w:instrText>
      </w:r>
      <w:r>
        <w:rPr>
          <w:color w:val="000000"/>
        </w:rPr>
        <w:fldChar w:fldCharType="separate"/>
      </w:r>
      <w:r>
        <w:rPr>
          <w:color w:val="000000"/>
        </w:rPr>
        <w:t>6</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"_Toc112791218" </w:instrText>
      </w:r>
      <w:r>
        <w:fldChar w:fldCharType="separate"/>
      </w:r>
      <w:r>
        <w:rPr>
          <w:rStyle w:val="30"/>
          <w:rFonts w:hint="eastAsia"/>
          <w:color w:val="000000"/>
        </w:rPr>
        <w:t>二、基本原则</w:t>
      </w:r>
      <w:r>
        <w:rPr>
          <w:color w:val="000000"/>
        </w:rPr>
        <w:tab/>
      </w:r>
      <w:r>
        <w:rPr>
          <w:color w:val="000000"/>
        </w:rPr>
        <w:fldChar w:fldCharType="begin"/>
      </w:r>
      <w:r>
        <w:rPr>
          <w:color w:val="000000"/>
        </w:rPr>
        <w:instrText xml:space="preserve"> PAGEREF _Toc112791218 \h </w:instrText>
      </w:r>
      <w:r>
        <w:rPr>
          <w:color w:val="000000"/>
        </w:rPr>
        <w:fldChar w:fldCharType="separate"/>
      </w:r>
      <w:r>
        <w:rPr>
          <w:color w:val="000000"/>
        </w:rPr>
        <w:t>7</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"_Toc112791219" </w:instrText>
      </w:r>
      <w:r>
        <w:fldChar w:fldCharType="separate"/>
      </w:r>
      <w:r>
        <w:rPr>
          <w:rStyle w:val="30"/>
          <w:rFonts w:hint="eastAsia"/>
          <w:color w:val="000000"/>
        </w:rPr>
        <w:t>三、总体目标</w:t>
      </w:r>
      <w:r>
        <w:rPr>
          <w:color w:val="000000"/>
        </w:rPr>
        <w:tab/>
      </w:r>
      <w:r>
        <w:rPr>
          <w:color w:val="000000"/>
        </w:rPr>
        <w:fldChar w:fldCharType="begin"/>
      </w:r>
      <w:r>
        <w:rPr>
          <w:color w:val="000000"/>
        </w:rPr>
        <w:instrText xml:space="preserve"> PAGEREF _Toc112791219 \h </w:instrText>
      </w:r>
      <w:r>
        <w:rPr>
          <w:color w:val="000000"/>
        </w:rPr>
        <w:fldChar w:fldCharType="separate"/>
      </w:r>
      <w:r>
        <w:rPr>
          <w:color w:val="000000"/>
        </w:rPr>
        <w:t>8</w:t>
      </w:r>
      <w:r>
        <w:rPr>
          <w:color w:val="000000"/>
        </w:rPr>
        <w:fldChar w:fldCharType="end"/>
      </w:r>
      <w:r>
        <w:rPr>
          <w:color w:val="000000"/>
        </w:rPr>
        <w:fldChar w:fldCharType="end"/>
      </w:r>
    </w:p>
    <w:p>
      <w:pPr>
        <w:pStyle w:val="14"/>
        <w:tabs>
          <w:tab w:val="right" w:leader="dot" w:pos="9021"/>
        </w:tabs>
        <w:ind w:firstLine="0" w:firstLineChars="0"/>
        <w:rPr>
          <w:rFonts w:eastAsia="黑体"/>
          <w:color w:val="000000"/>
          <w:sz w:val="21"/>
        </w:rPr>
      </w:pPr>
      <w:r>
        <w:fldChar w:fldCharType="begin"/>
      </w:r>
      <w:r>
        <w:instrText xml:space="preserve"> HYPERLINK \l "_Toc112791220" </w:instrText>
      </w:r>
      <w:r>
        <w:fldChar w:fldCharType="separate"/>
      </w:r>
      <w:r>
        <w:rPr>
          <w:rStyle w:val="30"/>
          <w:rFonts w:hint="eastAsia" w:eastAsia="黑体"/>
          <w:color w:val="000000"/>
        </w:rPr>
        <w:t>第三章</w:t>
      </w:r>
      <w:r>
        <w:rPr>
          <w:rStyle w:val="30"/>
          <w:rFonts w:eastAsia="黑体"/>
          <w:color w:val="000000"/>
        </w:rPr>
        <w:t xml:space="preserve">  </w:t>
      </w:r>
      <w:r>
        <w:rPr>
          <w:rStyle w:val="30"/>
          <w:rFonts w:hint="eastAsia" w:eastAsia="黑体"/>
          <w:color w:val="000000"/>
        </w:rPr>
        <w:t>区域布局</w:t>
      </w:r>
      <w:r>
        <w:rPr>
          <w:rFonts w:eastAsia="黑体"/>
          <w:color w:val="000000"/>
        </w:rPr>
        <w:tab/>
      </w:r>
      <w:r>
        <w:rPr>
          <w:rFonts w:eastAsia="黑体"/>
          <w:color w:val="000000"/>
        </w:rPr>
        <w:fldChar w:fldCharType="begin"/>
      </w:r>
      <w:r>
        <w:rPr>
          <w:rFonts w:eastAsia="黑体"/>
          <w:color w:val="000000"/>
        </w:rPr>
        <w:instrText xml:space="preserve"> PAGEREF _Toc112791220 \h </w:instrText>
      </w:r>
      <w:r>
        <w:rPr>
          <w:rFonts w:eastAsia="黑体"/>
          <w:color w:val="000000"/>
        </w:rPr>
        <w:fldChar w:fldCharType="separate"/>
      </w:r>
      <w:r>
        <w:rPr>
          <w:rFonts w:eastAsia="黑体"/>
          <w:color w:val="000000"/>
        </w:rPr>
        <w:t>11</w:t>
      </w:r>
      <w:r>
        <w:rPr>
          <w:rFonts w:eastAsia="黑体"/>
          <w:color w:val="000000"/>
        </w:rPr>
        <w:fldChar w:fldCharType="end"/>
      </w:r>
      <w:r>
        <w:rPr>
          <w:rFonts w:eastAsia="黑体"/>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"_Toc112791221" </w:instrText>
      </w:r>
      <w:r>
        <w:fldChar w:fldCharType="separate"/>
      </w:r>
      <w:r>
        <w:rPr>
          <w:rStyle w:val="30"/>
          <w:rFonts w:hint="eastAsia"/>
          <w:color w:val="000000"/>
        </w:rPr>
        <w:t>一、完善现代渔业发展布局</w:t>
      </w:r>
      <w:r>
        <w:rPr>
          <w:color w:val="000000"/>
        </w:rPr>
        <w:tab/>
      </w:r>
      <w:r>
        <w:rPr>
          <w:color w:val="000000"/>
        </w:rPr>
        <w:fldChar w:fldCharType="begin"/>
      </w:r>
      <w:r>
        <w:rPr>
          <w:color w:val="000000"/>
        </w:rPr>
        <w:instrText xml:space="preserve"> PAGEREF _Toc112791221 \h </w:instrText>
      </w:r>
      <w:r>
        <w:rPr>
          <w:color w:val="000000"/>
        </w:rPr>
        <w:fldChar w:fldCharType="separate"/>
      </w:r>
      <w:r>
        <w:rPr>
          <w:color w:val="000000"/>
        </w:rPr>
        <w:t>11</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"_Toc112791222" </w:instrText>
      </w:r>
      <w:r>
        <w:fldChar w:fldCharType="separate"/>
      </w:r>
      <w:r>
        <w:rPr>
          <w:rStyle w:val="30"/>
          <w:rFonts w:hint="eastAsia"/>
          <w:color w:val="000000"/>
        </w:rPr>
        <w:t>二、构建水产种业发展布局</w:t>
      </w:r>
      <w:r>
        <w:rPr>
          <w:color w:val="000000"/>
        </w:rPr>
        <w:tab/>
      </w:r>
      <w:r>
        <w:rPr>
          <w:color w:val="000000"/>
        </w:rPr>
        <w:fldChar w:fldCharType="begin"/>
      </w:r>
      <w:r>
        <w:rPr>
          <w:color w:val="000000"/>
        </w:rPr>
        <w:instrText xml:space="preserve"> PAGEREF _Toc112791222 \h </w:instrText>
      </w:r>
      <w:r>
        <w:rPr>
          <w:color w:val="000000"/>
        </w:rPr>
        <w:fldChar w:fldCharType="separate"/>
      </w:r>
      <w:r>
        <w:rPr>
          <w:color w:val="000000"/>
        </w:rPr>
        <w:t>13</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"_Toc112791223" </w:instrText>
      </w:r>
      <w:r>
        <w:fldChar w:fldCharType="separate"/>
      </w:r>
      <w:r>
        <w:rPr>
          <w:rStyle w:val="30"/>
          <w:rFonts w:hint="eastAsia"/>
          <w:color w:val="000000"/>
          <w:lang w:val="zh-CN"/>
        </w:rPr>
        <w:t>三、优化水产品加工流通布局</w:t>
      </w:r>
      <w:r>
        <w:rPr>
          <w:color w:val="000000"/>
        </w:rPr>
        <w:tab/>
      </w:r>
      <w:r>
        <w:rPr>
          <w:color w:val="000000"/>
        </w:rPr>
        <w:fldChar w:fldCharType="begin"/>
      </w:r>
      <w:r>
        <w:rPr>
          <w:color w:val="000000"/>
        </w:rPr>
        <w:instrText xml:space="preserve"> PAGEREF _Toc112791223 \h </w:instrText>
      </w:r>
      <w:r>
        <w:rPr>
          <w:color w:val="000000"/>
        </w:rPr>
        <w:fldChar w:fldCharType="separate"/>
      </w:r>
      <w:r>
        <w:rPr>
          <w:color w:val="000000"/>
        </w:rPr>
        <w:t>13</w:t>
      </w:r>
      <w:r>
        <w:rPr>
          <w:color w:val="000000"/>
        </w:rPr>
        <w:fldChar w:fldCharType="end"/>
      </w:r>
      <w:r>
        <w:rPr>
          <w:color w:val="000000"/>
        </w:rPr>
        <w:fldChar w:fldCharType="end"/>
      </w:r>
    </w:p>
    <w:p>
      <w:pPr>
        <w:pStyle w:val="14"/>
        <w:tabs>
          <w:tab w:val="right" w:leader="dot" w:pos="9021"/>
        </w:tabs>
        <w:ind w:firstLine="0" w:firstLineChars="0"/>
        <w:rPr>
          <w:rFonts w:eastAsia="黑体"/>
          <w:color w:val="000000"/>
          <w:sz w:val="21"/>
        </w:rPr>
      </w:pPr>
      <w:r>
        <w:fldChar w:fldCharType="begin"/>
      </w:r>
      <w:r>
        <w:instrText xml:space="preserve"> HYPERLINK \l "_Toc112791224" </w:instrText>
      </w:r>
      <w:r>
        <w:fldChar w:fldCharType="separate"/>
      </w:r>
      <w:r>
        <w:rPr>
          <w:rStyle w:val="30"/>
          <w:rFonts w:hint="eastAsia" w:eastAsia="黑体"/>
          <w:color w:val="000000"/>
        </w:rPr>
        <w:t>第四章</w:t>
      </w:r>
      <w:r>
        <w:rPr>
          <w:rStyle w:val="30"/>
          <w:rFonts w:eastAsia="黑体"/>
          <w:color w:val="000000"/>
        </w:rPr>
        <w:t xml:space="preserve">  </w:t>
      </w:r>
      <w:r>
        <w:rPr>
          <w:rStyle w:val="30"/>
          <w:rFonts w:hint="eastAsia" w:eastAsia="黑体"/>
          <w:color w:val="000000"/>
        </w:rPr>
        <w:t>主要任务</w:t>
      </w:r>
      <w:r>
        <w:rPr>
          <w:rFonts w:eastAsia="黑体"/>
          <w:color w:val="000000"/>
        </w:rPr>
        <w:tab/>
      </w:r>
      <w:r>
        <w:rPr>
          <w:rFonts w:eastAsia="黑体"/>
          <w:color w:val="000000"/>
        </w:rPr>
        <w:fldChar w:fldCharType="begin"/>
      </w:r>
      <w:r>
        <w:rPr>
          <w:rFonts w:eastAsia="黑体"/>
          <w:color w:val="000000"/>
        </w:rPr>
        <w:instrText xml:space="preserve"> PAGEREF _Toc112791224 \h </w:instrText>
      </w:r>
      <w:r>
        <w:rPr>
          <w:rFonts w:eastAsia="黑体"/>
          <w:color w:val="000000"/>
        </w:rPr>
        <w:fldChar w:fldCharType="separate"/>
      </w:r>
      <w:r>
        <w:rPr>
          <w:rFonts w:eastAsia="黑体"/>
          <w:color w:val="000000"/>
        </w:rPr>
        <w:t>16</w:t>
      </w:r>
      <w:r>
        <w:rPr>
          <w:rFonts w:eastAsia="黑体"/>
          <w:color w:val="000000"/>
        </w:rPr>
        <w:fldChar w:fldCharType="end"/>
      </w:r>
      <w:r>
        <w:rPr>
          <w:rFonts w:eastAsia="黑体"/>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"_Toc112791225" </w:instrText>
      </w:r>
      <w:r>
        <w:fldChar w:fldCharType="separate"/>
      </w:r>
      <w:r>
        <w:rPr>
          <w:rStyle w:val="30"/>
          <w:rFonts w:hint="eastAsia"/>
          <w:color w:val="000000"/>
        </w:rPr>
        <w:t>一、确保水产品有效供给</w:t>
      </w:r>
      <w:r>
        <w:rPr>
          <w:color w:val="000000"/>
        </w:rPr>
        <w:tab/>
      </w:r>
      <w:r>
        <w:rPr>
          <w:color w:val="000000"/>
        </w:rPr>
        <w:fldChar w:fldCharType="begin"/>
      </w:r>
      <w:r>
        <w:rPr>
          <w:color w:val="000000"/>
        </w:rPr>
        <w:instrText xml:space="preserve"> PAGEREF _Toc112791225 \h </w:instrText>
      </w:r>
      <w:r>
        <w:rPr>
          <w:color w:val="000000"/>
        </w:rPr>
        <w:fldChar w:fldCharType="separate"/>
      </w:r>
      <w:r>
        <w:rPr>
          <w:color w:val="000000"/>
        </w:rPr>
        <w:t>16</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"_Toc112791226" </w:instrText>
      </w:r>
      <w:r>
        <w:fldChar w:fldCharType="separate"/>
      </w:r>
      <w:r>
        <w:rPr>
          <w:rStyle w:val="30"/>
          <w:rFonts w:hint="eastAsia"/>
          <w:color w:val="000000"/>
        </w:rPr>
        <w:t>二、促进水产种业振兴</w:t>
      </w:r>
      <w:r>
        <w:rPr>
          <w:color w:val="000000"/>
        </w:rPr>
        <w:tab/>
      </w:r>
      <w:r>
        <w:rPr>
          <w:color w:val="000000"/>
        </w:rPr>
        <w:fldChar w:fldCharType="begin"/>
      </w:r>
      <w:r>
        <w:rPr>
          <w:color w:val="000000"/>
        </w:rPr>
        <w:instrText xml:space="preserve"> PAGEREF _Toc112791226 \h </w:instrText>
      </w:r>
      <w:r>
        <w:rPr>
          <w:color w:val="000000"/>
        </w:rPr>
        <w:fldChar w:fldCharType="separate"/>
      </w:r>
      <w:r>
        <w:rPr>
          <w:color w:val="000000"/>
        </w:rPr>
        <w:t>17</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"_Toc112791227" </w:instrText>
      </w:r>
      <w:r>
        <w:fldChar w:fldCharType="separate"/>
      </w:r>
      <w:r>
        <w:rPr>
          <w:rStyle w:val="30"/>
          <w:rFonts w:hint="eastAsia"/>
          <w:color w:val="000000"/>
        </w:rPr>
        <w:t>三、强化渔业科技创新</w:t>
      </w:r>
      <w:r>
        <w:rPr>
          <w:color w:val="000000"/>
        </w:rPr>
        <w:tab/>
      </w:r>
      <w:r>
        <w:rPr>
          <w:color w:val="000000"/>
        </w:rPr>
        <w:fldChar w:fldCharType="begin"/>
      </w:r>
      <w:r>
        <w:rPr>
          <w:color w:val="000000"/>
        </w:rPr>
        <w:instrText xml:space="preserve"> PAGEREF _Toc112791227 \h </w:instrText>
      </w:r>
      <w:r>
        <w:rPr>
          <w:color w:val="000000"/>
        </w:rPr>
        <w:fldChar w:fldCharType="separate"/>
      </w:r>
      <w:r>
        <w:rPr>
          <w:color w:val="000000"/>
        </w:rPr>
        <w:t>18</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"_Toc112791228" </w:instrText>
      </w:r>
      <w:r>
        <w:fldChar w:fldCharType="separate"/>
      </w:r>
      <w:r>
        <w:rPr>
          <w:rStyle w:val="30"/>
          <w:rFonts w:hint="eastAsia"/>
          <w:color w:val="000000"/>
        </w:rPr>
        <w:t>四、构建深远海和近岸协调养殖体系</w:t>
      </w:r>
      <w:r>
        <w:rPr>
          <w:color w:val="000000"/>
        </w:rPr>
        <w:tab/>
      </w:r>
      <w:r>
        <w:rPr>
          <w:color w:val="000000"/>
        </w:rPr>
        <w:fldChar w:fldCharType="begin"/>
      </w:r>
      <w:r>
        <w:rPr>
          <w:color w:val="000000"/>
        </w:rPr>
        <w:instrText xml:space="preserve"> PAGEREF _Toc112791228 \h </w:instrText>
      </w:r>
      <w:r>
        <w:rPr>
          <w:color w:val="000000"/>
        </w:rPr>
        <w:fldChar w:fldCharType="separate"/>
      </w:r>
      <w:r>
        <w:rPr>
          <w:color w:val="000000"/>
        </w:rPr>
        <w:t>19</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"_Toc112791229" </w:instrText>
      </w:r>
      <w:r>
        <w:fldChar w:fldCharType="separate"/>
      </w:r>
      <w:r>
        <w:rPr>
          <w:rStyle w:val="30"/>
          <w:rFonts w:hint="eastAsia"/>
          <w:color w:val="000000"/>
        </w:rPr>
        <w:t>五、推进十大园区建设</w:t>
      </w:r>
      <w:r>
        <w:rPr>
          <w:color w:val="000000"/>
        </w:rPr>
        <w:tab/>
      </w:r>
      <w:r>
        <w:rPr>
          <w:color w:val="000000"/>
        </w:rPr>
        <w:fldChar w:fldCharType="begin"/>
      </w:r>
      <w:r>
        <w:rPr>
          <w:color w:val="000000"/>
        </w:rPr>
        <w:instrText xml:space="preserve"> PAGEREF _Toc112791229 \h </w:instrText>
      </w:r>
      <w:r>
        <w:rPr>
          <w:color w:val="000000"/>
        </w:rPr>
        <w:fldChar w:fldCharType="separate"/>
      </w:r>
      <w:r>
        <w:rPr>
          <w:color w:val="000000"/>
        </w:rPr>
        <w:t>20</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"_Toc112791230" </w:instrText>
      </w:r>
      <w:r>
        <w:fldChar w:fldCharType="separate"/>
      </w:r>
      <w:r>
        <w:rPr>
          <w:rStyle w:val="30"/>
          <w:rFonts w:hint="eastAsia"/>
          <w:color w:val="000000"/>
        </w:rPr>
        <w:t>六、有序发展海洋捕捞生产</w:t>
      </w:r>
      <w:r>
        <w:rPr>
          <w:color w:val="000000"/>
        </w:rPr>
        <w:tab/>
      </w:r>
      <w:r>
        <w:rPr>
          <w:color w:val="000000"/>
        </w:rPr>
        <w:fldChar w:fldCharType="begin"/>
      </w:r>
      <w:r>
        <w:rPr>
          <w:color w:val="000000"/>
        </w:rPr>
        <w:instrText xml:space="preserve"> PAGEREF _Toc112791230 \h </w:instrText>
      </w:r>
      <w:r>
        <w:rPr>
          <w:color w:val="000000"/>
        </w:rPr>
        <w:fldChar w:fldCharType="separate"/>
      </w:r>
      <w:r>
        <w:rPr>
          <w:color w:val="000000"/>
        </w:rPr>
        <w:t>22</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"_Toc112791231" </w:instrText>
      </w:r>
      <w:r>
        <w:fldChar w:fldCharType="separate"/>
      </w:r>
      <w:r>
        <w:rPr>
          <w:rStyle w:val="30"/>
          <w:rFonts w:hint="eastAsia"/>
          <w:color w:val="000000"/>
        </w:rPr>
        <w:t>七、突出发展二三产业</w:t>
      </w:r>
      <w:r>
        <w:rPr>
          <w:color w:val="000000"/>
        </w:rPr>
        <w:tab/>
      </w:r>
      <w:r>
        <w:rPr>
          <w:color w:val="000000"/>
        </w:rPr>
        <w:fldChar w:fldCharType="begin"/>
      </w:r>
      <w:r>
        <w:rPr>
          <w:color w:val="000000"/>
        </w:rPr>
        <w:instrText xml:space="preserve"> PAGEREF _Toc112791231 \h </w:instrText>
      </w:r>
      <w:r>
        <w:rPr>
          <w:color w:val="000000"/>
        </w:rPr>
        <w:fldChar w:fldCharType="separate"/>
      </w:r>
      <w:r>
        <w:rPr>
          <w:color w:val="000000"/>
        </w:rPr>
        <w:t>23</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"_Toc112791232" </w:instrText>
      </w:r>
      <w:r>
        <w:fldChar w:fldCharType="separate"/>
      </w:r>
      <w:r>
        <w:rPr>
          <w:rStyle w:val="30"/>
          <w:rFonts w:hint="eastAsia"/>
          <w:color w:val="000000"/>
        </w:rPr>
        <w:t>八、全面深化发展外向型渔业</w:t>
      </w:r>
      <w:r>
        <w:rPr>
          <w:color w:val="000000"/>
        </w:rPr>
        <w:tab/>
      </w:r>
      <w:r>
        <w:rPr>
          <w:color w:val="000000"/>
        </w:rPr>
        <w:fldChar w:fldCharType="begin"/>
      </w:r>
      <w:r>
        <w:rPr>
          <w:color w:val="000000"/>
        </w:rPr>
        <w:instrText xml:space="preserve"> PAGEREF _Toc112791232 \h </w:instrText>
      </w:r>
      <w:r>
        <w:rPr>
          <w:color w:val="000000"/>
        </w:rPr>
        <w:fldChar w:fldCharType="separate"/>
      </w:r>
      <w:r>
        <w:rPr>
          <w:color w:val="000000"/>
        </w:rPr>
        <w:t>25</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"_Toc112791233" </w:instrText>
      </w:r>
      <w:r>
        <w:fldChar w:fldCharType="separate"/>
      </w:r>
      <w:r>
        <w:rPr>
          <w:rStyle w:val="30"/>
          <w:rFonts w:hint="eastAsia"/>
          <w:color w:val="000000"/>
        </w:rPr>
        <w:t>九、强化渔业综合服务能力</w:t>
      </w:r>
      <w:r>
        <w:rPr>
          <w:color w:val="000000"/>
        </w:rPr>
        <w:tab/>
      </w:r>
      <w:r>
        <w:rPr>
          <w:color w:val="000000"/>
        </w:rPr>
        <w:fldChar w:fldCharType="begin"/>
      </w:r>
      <w:r>
        <w:rPr>
          <w:color w:val="000000"/>
        </w:rPr>
        <w:instrText xml:space="preserve"> PAGEREF _Toc112791233 \h </w:instrText>
      </w:r>
      <w:r>
        <w:rPr>
          <w:color w:val="000000"/>
        </w:rPr>
        <w:fldChar w:fldCharType="separate"/>
      </w:r>
      <w:r>
        <w:rPr>
          <w:color w:val="000000"/>
        </w:rPr>
        <w:t>26</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"_Toc112791234" </w:instrText>
      </w:r>
      <w:r>
        <w:fldChar w:fldCharType="separate"/>
      </w:r>
      <w:r>
        <w:rPr>
          <w:rStyle w:val="30"/>
          <w:rFonts w:hint="eastAsia"/>
          <w:color w:val="000000"/>
        </w:rPr>
        <w:t>十、完善养殖生产经营体系</w:t>
      </w:r>
      <w:r>
        <w:rPr>
          <w:color w:val="000000"/>
        </w:rPr>
        <w:tab/>
      </w:r>
      <w:r>
        <w:rPr>
          <w:color w:val="000000"/>
        </w:rPr>
        <w:fldChar w:fldCharType="begin"/>
      </w:r>
      <w:r>
        <w:rPr>
          <w:color w:val="000000"/>
        </w:rPr>
        <w:instrText xml:space="preserve"> PAGEREF _Toc112791234 \h </w:instrText>
      </w:r>
      <w:r>
        <w:rPr>
          <w:color w:val="000000"/>
        </w:rPr>
        <w:fldChar w:fldCharType="separate"/>
      </w:r>
      <w:r>
        <w:rPr>
          <w:color w:val="000000"/>
        </w:rPr>
        <w:t>28</w:t>
      </w:r>
      <w:r>
        <w:rPr>
          <w:color w:val="000000"/>
        </w:rPr>
        <w:fldChar w:fldCharType="end"/>
      </w:r>
      <w:r>
        <w:rPr>
          <w:color w:val="000000"/>
        </w:rPr>
        <w:fldChar w:fldCharType="end"/>
      </w:r>
    </w:p>
    <w:p>
      <w:pPr>
        <w:pStyle w:val="14"/>
        <w:tabs>
          <w:tab w:val="right" w:leader="dot" w:pos="9021"/>
        </w:tabs>
        <w:ind w:firstLine="0" w:firstLineChars="0"/>
        <w:rPr>
          <w:rFonts w:eastAsia="黑体"/>
          <w:color w:val="000000"/>
          <w:sz w:val="21"/>
        </w:rPr>
      </w:pPr>
      <w:r>
        <w:fldChar w:fldCharType="begin"/>
      </w:r>
      <w:r>
        <w:instrText xml:space="preserve"> HYPERLINK \l "_Toc112791235" </w:instrText>
      </w:r>
      <w:r>
        <w:fldChar w:fldCharType="separate"/>
      </w:r>
      <w:r>
        <w:rPr>
          <w:rStyle w:val="30"/>
          <w:rFonts w:hint="eastAsia" w:eastAsia="黑体"/>
          <w:color w:val="000000"/>
        </w:rPr>
        <w:t>第五章</w:t>
      </w:r>
      <w:r>
        <w:rPr>
          <w:rStyle w:val="30"/>
          <w:rFonts w:eastAsia="黑体"/>
          <w:color w:val="000000"/>
        </w:rPr>
        <w:t xml:space="preserve">  </w:t>
      </w:r>
      <w:r>
        <w:rPr>
          <w:rStyle w:val="30"/>
          <w:rFonts w:hint="eastAsia" w:eastAsia="黑体"/>
          <w:color w:val="000000"/>
        </w:rPr>
        <w:t>保障措施</w:t>
      </w:r>
      <w:r>
        <w:rPr>
          <w:rFonts w:eastAsia="黑体"/>
          <w:color w:val="000000"/>
        </w:rPr>
        <w:tab/>
      </w:r>
      <w:r>
        <w:rPr>
          <w:rFonts w:eastAsia="黑体"/>
          <w:color w:val="000000"/>
        </w:rPr>
        <w:fldChar w:fldCharType="begin"/>
      </w:r>
      <w:r>
        <w:rPr>
          <w:rFonts w:eastAsia="黑体"/>
          <w:color w:val="000000"/>
        </w:rPr>
        <w:instrText xml:space="preserve"> PAGEREF _Toc112791235 \h </w:instrText>
      </w:r>
      <w:r>
        <w:rPr>
          <w:rFonts w:eastAsia="黑体"/>
          <w:color w:val="000000"/>
        </w:rPr>
        <w:fldChar w:fldCharType="separate"/>
      </w:r>
      <w:r>
        <w:rPr>
          <w:rFonts w:eastAsia="黑体"/>
          <w:color w:val="000000"/>
        </w:rPr>
        <w:t>29</w:t>
      </w:r>
      <w:r>
        <w:rPr>
          <w:rFonts w:eastAsia="黑体"/>
          <w:color w:val="000000"/>
        </w:rPr>
        <w:fldChar w:fldCharType="end"/>
      </w:r>
      <w:r>
        <w:rPr>
          <w:rFonts w:eastAsia="黑体"/>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"_Toc112791236" </w:instrText>
      </w:r>
      <w:r>
        <w:fldChar w:fldCharType="separate"/>
      </w:r>
      <w:r>
        <w:rPr>
          <w:rStyle w:val="30"/>
          <w:rFonts w:hint="eastAsia"/>
          <w:color w:val="000000"/>
        </w:rPr>
        <w:t>一、加强组织领导</w:t>
      </w:r>
      <w:r>
        <w:rPr>
          <w:color w:val="000000"/>
        </w:rPr>
        <w:tab/>
      </w:r>
      <w:r>
        <w:rPr>
          <w:color w:val="000000"/>
        </w:rPr>
        <w:fldChar w:fldCharType="begin"/>
      </w:r>
      <w:r>
        <w:rPr>
          <w:color w:val="000000"/>
        </w:rPr>
        <w:instrText xml:space="preserve"> PAGEREF _Toc112791236 \h </w:instrText>
      </w:r>
      <w:r>
        <w:rPr>
          <w:color w:val="000000"/>
        </w:rPr>
        <w:fldChar w:fldCharType="separate"/>
      </w:r>
      <w:r>
        <w:rPr>
          <w:color w:val="000000"/>
        </w:rPr>
        <w:t>29</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"_Toc112791237" </w:instrText>
      </w:r>
      <w:r>
        <w:fldChar w:fldCharType="separate"/>
      </w:r>
      <w:r>
        <w:rPr>
          <w:rStyle w:val="30"/>
          <w:rFonts w:hint="eastAsia"/>
          <w:color w:val="000000"/>
        </w:rPr>
        <w:t>二、强化政务保障</w:t>
      </w:r>
      <w:r>
        <w:rPr>
          <w:color w:val="000000"/>
        </w:rPr>
        <w:tab/>
      </w:r>
      <w:r>
        <w:rPr>
          <w:color w:val="000000"/>
        </w:rPr>
        <w:fldChar w:fldCharType="begin"/>
      </w:r>
      <w:r>
        <w:rPr>
          <w:color w:val="000000"/>
        </w:rPr>
        <w:instrText xml:space="preserve"> PAGEREF _Toc112791237 \h </w:instrText>
      </w:r>
      <w:r>
        <w:rPr>
          <w:color w:val="000000"/>
        </w:rPr>
        <w:fldChar w:fldCharType="separate"/>
      </w:r>
      <w:r>
        <w:rPr>
          <w:color w:val="000000"/>
        </w:rPr>
        <w:t>29</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"_Toc112791238" </w:instrText>
      </w:r>
      <w:r>
        <w:fldChar w:fldCharType="separate"/>
      </w:r>
      <w:r>
        <w:rPr>
          <w:rStyle w:val="30"/>
          <w:rFonts w:hint="eastAsia"/>
          <w:color w:val="000000"/>
        </w:rPr>
        <w:t>三、完善投入机制</w:t>
      </w:r>
      <w:r>
        <w:rPr>
          <w:color w:val="000000"/>
        </w:rPr>
        <w:tab/>
      </w:r>
      <w:r>
        <w:rPr>
          <w:color w:val="000000"/>
        </w:rPr>
        <w:fldChar w:fldCharType="begin"/>
      </w:r>
      <w:r>
        <w:rPr>
          <w:color w:val="000000"/>
        </w:rPr>
        <w:instrText xml:space="preserve"> PAGEREF _Toc112791238 \h </w:instrText>
      </w:r>
      <w:r>
        <w:rPr>
          <w:color w:val="000000"/>
        </w:rPr>
        <w:fldChar w:fldCharType="separate"/>
      </w:r>
      <w:r>
        <w:rPr>
          <w:color w:val="000000"/>
        </w:rPr>
        <w:t>30</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"_Toc112791239" </w:instrText>
      </w:r>
      <w:r>
        <w:fldChar w:fldCharType="separate"/>
      </w:r>
      <w:r>
        <w:rPr>
          <w:rStyle w:val="30"/>
          <w:rFonts w:hint="eastAsia"/>
          <w:color w:val="000000"/>
        </w:rPr>
        <w:t>四、强化人才支撑</w:t>
      </w:r>
      <w:r>
        <w:rPr>
          <w:color w:val="000000"/>
        </w:rPr>
        <w:tab/>
      </w:r>
      <w:r>
        <w:rPr>
          <w:color w:val="000000"/>
        </w:rPr>
        <w:fldChar w:fldCharType="begin"/>
      </w:r>
      <w:r>
        <w:rPr>
          <w:color w:val="000000"/>
        </w:rPr>
        <w:instrText xml:space="preserve"> PAGEREF _Toc112791239 \h </w:instrText>
      </w:r>
      <w:r>
        <w:rPr>
          <w:color w:val="000000"/>
        </w:rPr>
        <w:fldChar w:fldCharType="separate"/>
      </w:r>
      <w:r>
        <w:rPr>
          <w:color w:val="000000"/>
        </w:rPr>
        <w:t>30</w:t>
      </w:r>
      <w:r>
        <w:rPr>
          <w:color w:val="000000"/>
        </w:rPr>
        <w:fldChar w:fldCharType="end"/>
      </w:r>
      <w:r>
        <w:rPr>
          <w:color w:val="000000"/>
        </w:rPr>
        <w:fldChar w:fldCharType="end"/>
      </w:r>
    </w:p>
    <w:p>
      <w:pPr>
        <w:pStyle w:val="18"/>
        <w:tabs>
          <w:tab w:val="right" w:leader="dot" w:pos="9021"/>
        </w:tabs>
        <w:ind w:left="640" w:firstLine="0" w:firstLineChars="0"/>
        <w:rPr>
          <w:rFonts w:eastAsia="宋体"/>
          <w:color w:val="000000"/>
          <w:sz w:val="21"/>
        </w:rPr>
      </w:pPr>
      <w:r>
        <w:fldChar w:fldCharType="begin"/>
      </w:r>
      <w:r>
        <w:instrText xml:space="preserve"> HYPERLINK \l "_Toc112791240" </w:instrText>
      </w:r>
      <w:r>
        <w:fldChar w:fldCharType="separate"/>
      </w:r>
      <w:r>
        <w:rPr>
          <w:rStyle w:val="30"/>
          <w:rFonts w:hint="eastAsia"/>
          <w:color w:val="000000"/>
        </w:rPr>
        <w:t>五、实施监督评估</w:t>
      </w:r>
      <w:r>
        <w:rPr>
          <w:color w:val="000000"/>
        </w:rPr>
        <w:tab/>
      </w:r>
      <w:r>
        <w:rPr>
          <w:color w:val="000000"/>
        </w:rPr>
        <w:fldChar w:fldCharType="begin"/>
      </w:r>
      <w:r>
        <w:rPr>
          <w:color w:val="000000"/>
        </w:rPr>
        <w:instrText xml:space="preserve"> PAGEREF _Toc112791240 \h </w:instrText>
      </w:r>
      <w:r>
        <w:rPr>
          <w:color w:val="000000"/>
        </w:rPr>
        <w:fldChar w:fldCharType="separate"/>
      </w:r>
      <w:r>
        <w:rPr>
          <w:color w:val="000000"/>
        </w:rPr>
        <w:t>31</w:t>
      </w:r>
      <w:r>
        <w:rPr>
          <w:color w:val="000000"/>
        </w:rPr>
        <w:fldChar w:fldCharType="end"/>
      </w:r>
      <w:r>
        <w:rPr>
          <w:color w:val="000000"/>
        </w:rPr>
        <w:fldChar w:fldCharType="end"/>
      </w:r>
    </w:p>
    <w:p>
      <w:pPr>
        <w:pStyle w:val="14"/>
        <w:tabs>
          <w:tab w:val="right" w:leader="dot" w:pos="9021"/>
        </w:tabs>
        <w:ind w:firstLine="0" w:firstLineChars="0"/>
        <w:rPr>
          <w:rFonts w:eastAsia="黑体"/>
          <w:color w:val="000000"/>
          <w:sz w:val="21"/>
        </w:rPr>
      </w:pPr>
      <w:r>
        <w:fldChar w:fldCharType="begin"/>
      </w:r>
      <w:r>
        <w:instrText xml:space="preserve"> HYPERLINK \l "_Toc112791241" </w:instrText>
      </w:r>
      <w:r>
        <w:fldChar w:fldCharType="separate"/>
      </w:r>
      <w:r>
        <w:rPr>
          <w:rStyle w:val="30"/>
          <w:rFonts w:hint="eastAsia" w:eastAsia="黑体"/>
          <w:color w:val="000000"/>
        </w:rPr>
        <w:t>附图</w:t>
      </w:r>
      <w:r>
        <w:rPr>
          <w:rFonts w:eastAsia="黑体"/>
          <w:color w:val="000000"/>
        </w:rPr>
        <w:tab/>
      </w:r>
      <w:r>
        <w:rPr>
          <w:rFonts w:eastAsia="黑体"/>
          <w:color w:val="000000"/>
        </w:rPr>
        <w:fldChar w:fldCharType="begin"/>
      </w:r>
      <w:r>
        <w:rPr>
          <w:rFonts w:eastAsia="黑体"/>
          <w:color w:val="000000"/>
        </w:rPr>
        <w:instrText xml:space="preserve"> PAGEREF _Toc112791241 \h </w:instrText>
      </w:r>
      <w:r>
        <w:rPr>
          <w:rFonts w:eastAsia="黑体"/>
          <w:color w:val="000000"/>
        </w:rPr>
        <w:fldChar w:fldCharType="separate"/>
      </w:r>
      <w:r>
        <w:rPr>
          <w:rFonts w:eastAsia="黑体"/>
          <w:color w:val="000000"/>
        </w:rPr>
        <w:t>32</w:t>
      </w:r>
      <w:r>
        <w:rPr>
          <w:rFonts w:eastAsia="黑体"/>
          <w:color w:val="000000"/>
        </w:rPr>
        <w:fldChar w:fldCharType="end"/>
      </w:r>
      <w:r>
        <w:rPr>
          <w:rFonts w:eastAsia="黑体"/>
          <w:color w:val="000000"/>
        </w:rPr>
        <w:fldChar w:fldCharType="end"/>
      </w:r>
    </w:p>
    <w:p>
      <w:pPr>
        <w:ind w:firstLine="0" w:firstLineChars="0"/>
        <w:rPr>
          <w:rFonts w:eastAsia="楷体"/>
          <w:color w:val="000000"/>
        </w:rPr>
        <w:sectPr>
          <w:footerReference r:id="rId11" w:type="default"/>
          <w:pgSz w:w="11906" w:h="16838"/>
          <w:pgMar w:top="1440" w:right="1287" w:bottom="1440" w:left="1588" w:header="851" w:footer="992" w:gutter="0"/>
          <w:pgNumType w:fmt="upperRoman" w:start="1"/>
          <w:cols w:space="425" w:num="1"/>
          <w:docGrid w:type="lines" w:linePitch="435" w:charSpace="0"/>
        </w:sectPr>
      </w:pPr>
      <w:r>
        <w:rPr>
          <w:rFonts w:eastAsia="楷体"/>
          <w:color w:val="000000"/>
        </w:rPr>
        <w:fldChar w:fldCharType="end"/>
      </w:r>
    </w:p>
    <w:p>
      <w:pPr>
        <w:ind w:firstLine="640"/>
        <w:rPr>
          <w:color w:val="000000"/>
        </w:rPr>
      </w:pPr>
      <w:bookmarkStart w:id="2" w:name="_Toc84606757"/>
      <w:bookmarkStart w:id="3" w:name="_Toc73632656"/>
      <w:bookmarkStart w:id="4" w:name="_Toc24728"/>
      <w:bookmarkStart w:id="5" w:name="_Toc58667268"/>
      <w:bookmarkStart w:id="6" w:name="_Toc84608468"/>
      <w:bookmarkStart w:id="7" w:name="_Toc84608454"/>
      <w:bookmarkStart w:id="8" w:name="_Toc58667287"/>
    </w:p>
    <w:p>
      <w:pPr>
        <w:pStyle w:val="2"/>
        <w:rPr>
          <w:color w:val="000000"/>
        </w:rPr>
      </w:pPr>
      <w:bookmarkStart w:id="9" w:name="_Toc93335655"/>
      <w:bookmarkStart w:id="10" w:name="_Toc112791211"/>
      <w:r>
        <w:rPr>
          <w:rFonts w:hint="eastAsia"/>
          <w:color w:val="000000"/>
        </w:rPr>
        <w:t>前</w:t>
      </w:r>
      <w:r>
        <w:rPr>
          <w:color w:val="000000"/>
        </w:rPr>
        <w:t xml:space="preserve">  </w:t>
      </w:r>
      <w:r>
        <w:rPr>
          <w:rFonts w:hint="eastAsia"/>
          <w:color w:val="000000"/>
        </w:rPr>
        <w:t>言</w:t>
      </w:r>
      <w:bookmarkEnd w:id="2"/>
      <w:bookmarkEnd w:id="3"/>
      <w:bookmarkEnd w:id="9"/>
      <w:bookmarkEnd w:id="10"/>
    </w:p>
    <w:p>
      <w:pPr>
        <w:ind w:firstLine="640"/>
        <w:rPr>
          <w:color w:val="000000"/>
        </w:rPr>
      </w:pPr>
    </w:p>
    <w:p>
      <w:pPr>
        <w:ind w:firstLine="640"/>
        <w:rPr>
          <w:color w:val="000000"/>
        </w:rPr>
      </w:pPr>
      <w:r>
        <w:rPr>
          <w:rFonts w:hint="eastAsia"/>
          <w:color w:val="000000"/>
        </w:rPr>
        <w:t>“十三五”期间，水产养殖业绿色发展扎实推进，渔业综合生产能力不断巩固和提高，产业结构进一步优化，全区水产品总产量、渔业经济总产值均呈现稳步增长态势，稳固了广西渔业大省（区）地位。</w:t>
      </w:r>
    </w:p>
    <w:p>
      <w:pPr>
        <w:ind w:firstLine="640"/>
        <w:rPr>
          <w:color w:val="000000"/>
        </w:rPr>
      </w:pPr>
      <w:r>
        <w:rPr>
          <w:rFonts w:hint="eastAsia"/>
          <w:color w:val="000000"/>
        </w:rPr>
        <w:t>渔业是农业农村经济的重要组成部分，对保障国家粮食安全和重要农产品有效供给、促进农民增收、服务生态文明建设等具有重要作用。“十四五”时期，三农工作重心转向全面推进乡村振兴，渔业进入高质量发展阶段。为进一步提高渔业经济效益，推动渔业转型升级，贯彻落实习近平总书记赋予广西“三大定位”和“打造好向海经济”的重要指示精神，根据《“十四五”全国渔业发展规划》《全国乡村产业发展规划（</w:t>
      </w:r>
      <w:r>
        <w:rPr>
          <w:color w:val="000000"/>
        </w:rPr>
        <w:t>2020</w:t>
      </w:r>
      <w:r>
        <w:rPr>
          <w:rFonts w:hint="eastAsia"/>
          <w:color w:val="000000"/>
        </w:rPr>
        <w:t>－</w:t>
      </w:r>
      <w:r>
        <w:rPr>
          <w:color w:val="000000"/>
        </w:rPr>
        <w:t>2025</w:t>
      </w:r>
      <w:r>
        <w:rPr>
          <w:rFonts w:hint="eastAsia"/>
          <w:color w:val="000000"/>
        </w:rPr>
        <w:t>年）》《广西壮族自治区国民经济和社会发展第十四个五年规划和</w:t>
      </w:r>
      <w:r>
        <w:rPr>
          <w:color w:val="000000"/>
        </w:rPr>
        <w:t>2035</w:t>
      </w:r>
      <w:r>
        <w:rPr>
          <w:rFonts w:hint="eastAsia"/>
          <w:color w:val="000000"/>
        </w:rPr>
        <w:t>年远景目标纲要》和《广西农业农村现代化发展“十四五”规划》，制定本规划。</w:t>
      </w:r>
    </w:p>
    <w:p>
      <w:pPr>
        <w:ind w:firstLine="640"/>
        <w:rPr>
          <w:color w:val="000000"/>
        </w:rPr>
      </w:pPr>
    </w:p>
    <w:p>
      <w:pPr>
        <w:ind w:firstLine="640"/>
        <w:rPr>
          <w:color w:val="000000"/>
        </w:rPr>
      </w:pPr>
    </w:p>
    <w:p>
      <w:pPr>
        <w:ind w:firstLine="640"/>
        <w:rPr>
          <w:color w:val="000000"/>
        </w:rPr>
        <w:sectPr>
          <w:footerReference r:id="rId12" w:type="default"/>
          <w:footerReference r:id="rId13" w:type="even"/>
          <w:pgSz w:w="11906" w:h="16838"/>
          <w:pgMar w:top="1440" w:right="1800" w:bottom="1440" w:left="1800" w:header="851" w:footer="992" w:gutter="0"/>
          <w:pgNumType w:start="1"/>
          <w:cols w:space="425" w:num="1"/>
          <w:docGrid w:type="lines" w:linePitch="312" w:charSpace="0"/>
        </w:sectPr>
      </w:pPr>
    </w:p>
    <w:p>
      <w:pPr>
        <w:pStyle w:val="2"/>
        <w:rPr>
          <w:color w:val="000000"/>
        </w:rPr>
      </w:pPr>
      <w:bookmarkStart w:id="11" w:name="_Toc112791212"/>
      <w:r>
        <w:rPr>
          <w:rFonts w:hint="eastAsia"/>
          <w:color w:val="000000"/>
        </w:rPr>
        <w:t>第一章</w:t>
      </w:r>
      <w:r>
        <w:rPr>
          <w:color w:val="000000"/>
        </w:rPr>
        <w:t xml:space="preserve">  </w:t>
      </w:r>
      <w:r>
        <w:rPr>
          <w:rFonts w:hint="eastAsia"/>
          <w:color w:val="000000"/>
        </w:rPr>
        <w:t>发展基础</w:t>
      </w:r>
      <w:bookmarkEnd w:id="11"/>
    </w:p>
    <w:p>
      <w:pPr>
        <w:widowControl w:val="0"/>
        <w:ind w:firstLine="640"/>
        <w:rPr>
          <w:color w:val="000000"/>
          <w:szCs w:val="32"/>
        </w:rPr>
      </w:pPr>
    </w:p>
    <w:p>
      <w:pPr>
        <w:widowControl w:val="0"/>
        <w:ind w:firstLine="640"/>
        <w:rPr>
          <w:color w:val="000000"/>
          <w:szCs w:val="32"/>
        </w:rPr>
      </w:pPr>
      <w:r>
        <w:rPr>
          <w:rFonts w:hint="eastAsia"/>
          <w:color w:val="000000"/>
          <w:szCs w:val="32"/>
        </w:rPr>
        <w:t>“十三五”期间，全区紧扣渔业提质增效和水产品稳产保供主题，践行新发展理念，以脱贫攻坚和实施乡村振兴战略为引领，广西渔业工作不断迈上新台阶，取得了显著的成效。</w:t>
      </w:r>
    </w:p>
    <w:p>
      <w:pPr>
        <w:widowControl w:val="0"/>
        <w:ind w:firstLine="640"/>
        <w:rPr>
          <w:color w:val="000000"/>
          <w:szCs w:val="32"/>
        </w:rPr>
      </w:pPr>
    </w:p>
    <w:p>
      <w:pPr>
        <w:pStyle w:val="3"/>
        <w:keepNext w:val="0"/>
        <w:keepLines w:val="0"/>
        <w:widowControl w:val="0"/>
        <w:ind w:firstLine="640"/>
        <w:rPr>
          <w:rFonts w:ascii="Times New Roman" w:hAnsi="Times New Roman"/>
          <w:color w:val="000000"/>
        </w:rPr>
      </w:pPr>
      <w:bookmarkStart w:id="12" w:name="_Toc112791213"/>
      <w:bookmarkStart w:id="13" w:name="_Toc91751088"/>
      <w:r>
        <w:rPr>
          <w:rFonts w:hint="eastAsia" w:ascii="Times New Roman" w:hAnsi="Times New Roman"/>
          <w:color w:val="000000"/>
        </w:rPr>
        <w:t>一、</w:t>
      </w:r>
      <w:r>
        <w:rPr>
          <w:rFonts w:ascii="Times New Roman" w:hAnsi="Times New Roman"/>
          <w:color w:val="000000"/>
        </w:rPr>
        <w:t>“</w:t>
      </w:r>
      <w:r>
        <w:rPr>
          <w:rFonts w:hint="eastAsia" w:ascii="Times New Roman" w:hAnsi="Times New Roman"/>
          <w:color w:val="000000"/>
        </w:rPr>
        <w:t>十三五</w:t>
      </w:r>
      <w:r>
        <w:rPr>
          <w:rFonts w:ascii="Times New Roman" w:hAnsi="Times New Roman"/>
          <w:color w:val="000000"/>
        </w:rPr>
        <w:t>”</w:t>
      </w:r>
      <w:r>
        <w:rPr>
          <w:rFonts w:hint="eastAsia" w:ascii="Times New Roman" w:hAnsi="Times New Roman"/>
          <w:color w:val="000000"/>
        </w:rPr>
        <w:t>渔业发展主要成就</w:t>
      </w:r>
      <w:bookmarkEnd w:id="12"/>
      <w:bookmarkEnd w:id="13"/>
    </w:p>
    <w:p>
      <w:pPr>
        <w:ind w:firstLine="643"/>
        <w:rPr>
          <w:color w:val="000000"/>
        </w:rPr>
      </w:pPr>
      <w:r>
        <w:rPr>
          <w:rFonts w:hint="eastAsia" w:eastAsia="楷体_GB2312"/>
          <w:b/>
          <w:bCs/>
          <w:color w:val="000000"/>
        </w:rPr>
        <w:t>渔业经济总产值突破千亿。</w:t>
      </w:r>
      <w:r>
        <w:rPr>
          <w:rFonts w:hint="eastAsia"/>
          <w:color w:val="000000"/>
        </w:rPr>
        <w:t>全区水产养殖面积稳定在</w:t>
      </w:r>
      <w:r>
        <w:rPr>
          <w:color w:val="000000"/>
        </w:rPr>
        <w:t>279</w:t>
      </w:r>
      <w:r>
        <w:rPr>
          <w:rFonts w:hint="eastAsia"/>
          <w:color w:val="000000"/>
        </w:rPr>
        <w:t>万亩以上，水产品总产量达</w:t>
      </w:r>
      <w:r>
        <w:rPr>
          <w:color w:val="000000"/>
        </w:rPr>
        <w:t>345.80</w:t>
      </w:r>
      <w:r>
        <w:rPr>
          <w:rFonts w:hint="eastAsia"/>
          <w:color w:val="000000"/>
        </w:rPr>
        <w:t>万吨、位列全国第</w:t>
      </w:r>
      <w:r>
        <w:rPr>
          <w:color w:val="000000"/>
        </w:rPr>
        <w:t>8</w:t>
      </w:r>
      <w:r>
        <w:rPr>
          <w:rFonts w:hint="eastAsia"/>
          <w:color w:val="000000"/>
        </w:rPr>
        <w:t>位，渔业经济总产值达</w:t>
      </w:r>
      <w:r>
        <w:rPr>
          <w:color w:val="000000"/>
        </w:rPr>
        <w:t>1082.96</w:t>
      </w:r>
      <w:r>
        <w:rPr>
          <w:rFonts w:hint="eastAsia"/>
          <w:color w:val="000000"/>
        </w:rPr>
        <w:t>亿元，比</w:t>
      </w:r>
      <w:r>
        <w:rPr>
          <w:color w:val="000000"/>
        </w:rPr>
        <w:t>2015</w:t>
      </w:r>
      <w:r>
        <w:rPr>
          <w:rFonts w:hint="eastAsia"/>
          <w:color w:val="000000"/>
        </w:rPr>
        <w:t>年增加</w:t>
      </w:r>
      <w:r>
        <w:rPr>
          <w:color w:val="000000"/>
        </w:rPr>
        <w:t>515.60</w:t>
      </w:r>
      <w:r>
        <w:rPr>
          <w:rFonts w:hint="eastAsia"/>
          <w:color w:val="000000"/>
        </w:rPr>
        <w:t>亿元。渔业产值达</w:t>
      </w:r>
      <w:r>
        <w:rPr>
          <w:color w:val="000000"/>
        </w:rPr>
        <w:t>533.87</w:t>
      </w:r>
      <w:r>
        <w:rPr>
          <w:rFonts w:hint="eastAsia"/>
          <w:color w:val="000000"/>
        </w:rPr>
        <w:t>亿元，其中海洋渔业产值</w:t>
      </w:r>
      <w:r>
        <w:rPr>
          <w:color w:val="000000"/>
        </w:rPr>
        <w:t>302.95</w:t>
      </w:r>
      <w:r>
        <w:rPr>
          <w:rFonts w:hint="eastAsia"/>
          <w:color w:val="000000"/>
        </w:rPr>
        <w:t>亿元，淡水渔业产值</w:t>
      </w:r>
      <w:r>
        <w:rPr>
          <w:color w:val="000000"/>
        </w:rPr>
        <w:t>205.34</w:t>
      </w:r>
      <w:r>
        <w:rPr>
          <w:rFonts w:hint="eastAsia"/>
          <w:color w:val="000000"/>
        </w:rPr>
        <w:t>亿元，渔业二三产业总产值达</w:t>
      </w:r>
      <w:r>
        <w:rPr>
          <w:color w:val="000000"/>
        </w:rPr>
        <w:t>549.09</w:t>
      </w:r>
      <w:r>
        <w:rPr>
          <w:rFonts w:hint="eastAsia"/>
          <w:color w:val="000000"/>
        </w:rPr>
        <w:t>亿元，全面实现千亿元现代渔业产业的目标。</w:t>
      </w:r>
    </w:p>
    <w:p>
      <w:pPr>
        <w:ind w:firstLine="643"/>
        <w:rPr>
          <w:color w:val="000000"/>
          <w:szCs w:val="32"/>
        </w:rPr>
      </w:pPr>
      <w:r>
        <w:rPr>
          <w:rFonts w:hint="eastAsia" w:eastAsia="楷体_GB2312"/>
          <w:b/>
          <w:bCs/>
          <w:color w:val="000000"/>
        </w:rPr>
        <w:t>产业融合发展成效显著</w:t>
      </w:r>
      <w:r>
        <w:rPr>
          <w:rFonts w:hint="eastAsia" w:eastAsia="楷体_GB2312"/>
          <w:b/>
          <w:bCs/>
          <w:color w:val="000000"/>
          <w:szCs w:val="32"/>
        </w:rPr>
        <w:t>。</w:t>
      </w:r>
      <w:r>
        <w:rPr>
          <w:rFonts w:hint="eastAsia"/>
          <w:color w:val="000000"/>
          <w:szCs w:val="32"/>
        </w:rPr>
        <w:t>全区渔业二三产业产值占比为</w:t>
      </w:r>
      <w:r>
        <w:rPr>
          <w:color w:val="000000"/>
          <w:szCs w:val="32"/>
        </w:rPr>
        <w:t>50.70%</w:t>
      </w:r>
      <w:r>
        <w:rPr>
          <w:rFonts w:hint="eastAsia"/>
          <w:color w:val="000000"/>
          <w:szCs w:val="32"/>
        </w:rPr>
        <w:t>，达到全国平均水平，比“十二五”提高</w:t>
      </w:r>
      <w:r>
        <w:rPr>
          <w:color w:val="000000"/>
          <w:szCs w:val="32"/>
        </w:rPr>
        <w:t>27.70%</w:t>
      </w:r>
      <w:r>
        <w:rPr>
          <w:rFonts w:hint="eastAsia"/>
          <w:color w:val="000000"/>
          <w:szCs w:val="32"/>
        </w:rPr>
        <w:t>。全区水产品深加工、农村电商、渔业仓储物流蓬勃发展，一二三产业融合发展良好。累计获得国家农产品地理标志登记保护水产品</w:t>
      </w:r>
      <w:r>
        <w:rPr>
          <w:color w:val="000000"/>
          <w:szCs w:val="32"/>
        </w:rPr>
        <w:t>20</w:t>
      </w:r>
      <w:r>
        <w:rPr>
          <w:rFonts w:hint="eastAsia"/>
          <w:color w:val="000000"/>
          <w:szCs w:val="32"/>
        </w:rPr>
        <w:t>个，其中</w:t>
      </w:r>
      <w:r>
        <w:rPr>
          <w:color w:val="000000"/>
          <w:szCs w:val="32"/>
        </w:rPr>
        <w:t>“</w:t>
      </w:r>
      <w:r>
        <w:rPr>
          <w:rFonts w:hint="eastAsia"/>
          <w:color w:val="000000"/>
          <w:szCs w:val="32"/>
        </w:rPr>
        <w:t>钦州大蚝</w:t>
      </w:r>
      <w:r>
        <w:rPr>
          <w:color w:val="000000"/>
          <w:szCs w:val="32"/>
        </w:rPr>
        <w:t>”</w:t>
      </w:r>
      <w:r>
        <w:rPr>
          <w:rFonts w:hint="eastAsia"/>
          <w:color w:val="000000"/>
          <w:szCs w:val="32"/>
        </w:rPr>
        <w:t>在</w:t>
      </w:r>
      <w:r>
        <w:rPr>
          <w:rFonts w:hint="eastAsia"/>
          <w:color w:val="000000"/>
          <w:spacing w:val="-2"/>
          <w:szCs w:val="32"/>
        </w:rPr>
        <w:t>全国区域品牌</w:t>
      </w:r>
      <w:r>
        <w:rPr>
          <w:color w:val="000000"/>
          <w:spacing w:val="-2"/>
          <w:szCs w:val="32"/>
        </w:rPr>
        <w:t>100</w:t>
      </w:r>
      <w:r>
        <w:rPr>
          <w:rFonts w:hint="eastAsia"/>
          <w:color w:val="000000"/>
          <w:spacing w:val="-2"/>
          <w:szCs w:val="32"/>
        </w:rPr>
        <w:t>名排行榜中排列第</w:t>
      </w:r>
      <w:r>
        <w:rPr>
          <w:color w:val="000000"/>
          <w:spacing w:val="-2"/>
          <w:szCs w:val="32"/>
        </w:rPr>
        <w:t>69</w:t>
      </w:r>
      <w:r>
        <w:rPr>
          <w:rFonts w:hint="eastAsia"/>
          <w:color w:val="000000"/>
          <w:spacing w:val="-2"/>
          <w:szCs w:val="32"/>
        </w:rPr>
        <w:t>位，品牌价值</w:t>
      </w:r>
      <w:r>
        <w:rPr>
          <w:color w:val="000000"/>
          <w:spacing w:val="-2"/>
          <w:szCs w:val="32"/>
        </w:rPr>
        <w:t>46.48</w:t>
      </w:r>
      <w:r>
        <w:rPr>
          <w:rFonts w:hint="eastAsia"/>
          <w:color w:val="000000"/>
          <w:spacing w:val="-2"/>
          <w:szCs w:val="32"/>
        </w:rPr>
        <w:t>亿元，</w:t>
      </w:r>
      <w:r>
        <w:rPr>
          <w:color w:val="000000"/>
          <w:spacing w:val="-2"/>
          <w:szCs w:val="32"/>
        </w:rPr>
        <w:t>“</w:t>
      </w:r>
      <w:r>
        <w:rPr>
          <w:rFonts w:hint="eastAsia"/>
          <w:color w:val="000000"/>
          <w:spacing w:val="-2"/>
          <w:szCs w:val="32"/>
        </w:rPr>
        <w:t>钦州蚝情节</w:t>
      </w:r>
      <w:r>
        <w:rPr>
          <w:color w:val="000000"/>
          <w:spacing w:val="-2"/>
          <w:szCs w:val="32"/>
        </w:rPr>
        <w:t>”</w:t>
      </w:r>
      <w:r>
        <w:rPr>
          <w:rFonts w:hint="eastAsia"/>
          <w:color w:val="000000"/>
          <w:spacing w:val="-2"/>
          <w:szCs w:val="32"/>
        </w:rPr>
        <w:t>获评国家级示范性渔业文化节庆品牌。柳州螺蛳粉产业异军突起，</w:t>
      </w:r>
      <w:r>
        <w:rPr>
          <w:color w:val="000000"/>
          <w:spacing w:val="-2"/>
          <w:szCs w:val="32"/>
        </w:rPr>
        <w:t>2020</w:t>
      </w:r>
      <w:r>
        <w:rPr>
          <w:rFonts w:hint="eastAsia"/>
          <w:color w:val="000000"/>
          <w:spacing w:val="-2"/>
          <w:szCs w:val="32"/>
        </w:rPr>
        <w:t>年，柳州预包装螺蛳粉销售收入</w:t>
      </w:r>
      <w:r>
        <w:rPr>
          <w:color w:val="000000"/>
          <w:spacing w:val="-2"/>
          <w:szCs w:val="32"/>
        </w:rPr>
        <w:t>109.94</w:t>
      </w:r>
      <w:r>
        <w:rPr>
          <w:rFonts w:hint="eastAsia"/>
          <w:color w:val="000000"/>
          <w:spacing w:val="-2"/>
          <w:szCs w:val="32"/>
        </w:rPr>
        <w:t>亿元，配套及衍生附属产品销售收入超过</w:t>
      </w:r>
      <w:r>
        <w:rPr>
          <w:color w:val="000000"/>
          <w:spacing w:val="-2"/>
          <w:szCs w:val="32"/>
        </w:rPr>
        <w:t>130</w:t>
      </w:r>
      <w:r>
        <w:rPr>
          <w:rFonts w:hint="eastAsia"/>
          <w:color w:val="000000"/>
          <w:spacing w:val="-2"/>
          <w:szCs w:val="32"/>
        </w:rPr>
        <w:t>亿元，提前两年实现了“双百亿”目标。</w:t>
      </w:r>
    </w:p>
    <w:p>
      <w:pPr>
        <w:spacing w:line="580" w:lineRule="exact"/>
        <w:ind w:firstLine="643"/>
        <w:rPr>
          <w:color w:val="000000"/>
        </w:rPr>
      </w:pPr>
      <w:r>
        <w:rPr>
          <w:rFonts w:hint="eastAsia" w:eastAsia="楷体_GB2312"/>
          <w:b/>
          <w:bCs/>
          <w:color w:val="000000"/>
          <w:szCs w:val="32"/>
        </w:rPr>
        <w:t>绿色发展全面推进。</w:t>
      </w:r>
      <w:r>
        <w:rPr>
          <w:rFonts w:hint="eastAsia"/>
          <w:color w:val="000000"/>
        </w:rPr>
        <w:t>“十三五”期间，全区养殖水域滩涂规划发布率</w:t>
      </w:r>
      <w:r>
        <w:rPr>
          <w:color w:val="000000"/>
        </w:rPr>
        <w:t>100%</w:t>
      </w:r>
      <w:r>
        <w:rPr>
          <w:rFonts w:hint="eastAsia"/>
          <w:color w:val="000000"/>
        </w:rPr>
        <w:t>；累计完成减船</w:t>
      </w:r>
      <w:r>
        <w:rPr>
          <w:color w:val="000000"/>
        </w:rPr>
        <w:t>1559</w:t>
      </w:r>
      <w:r>
        <w:rPr>
          <w:rFonts w:hint="eastAsia"/>
          <w:color w:val="000000"/>
        </w:rPr>
        <w:t>艘，压减功率</w:t>
      </w:r>
      <w:r>
        <w:rPr>
          <w:color w:val="000000"/>
        </w:rPr>
        <w:t>105115</w:t>
      </w:r>
      <w:r>
        <w:rPr>
          <w:rFonts w:hint="eastAsia"/>
          <w:color w:val="000000"/>
        </w:rPr>
        <w:t>千瓦，超额完成农业农村部下达减船船数和功率指标任务；累计创建农业部水产健康养殖示范场</w:t>
      </w:r>
      <w:r>
        <w:rPr>
          <w:color w:val="000000"/>
        </w:rPr>
        <w:t>169</w:t>
      </w:r>
      <w:r>
        <w:rPr>
          <w:rFonts w:hint="eastAsia"/>
          <w:color w:val="000000"/>
        </w:rPr>
        <w:t>家、自治区级水产健康养殖示范场</w:t>
      </w:r>
      <w:r>
        <w:rPr>
          <w:color w:val="000000"/>
        </w:rPr>
        <w:t>35</w:t>
      </w:r>
      <w:r>
        <w:rPr>
          <w:rFonts w:hint="eastAsia"/>
          <w:color w:val="000000"/>
        </w:rPr>
        <w:t>家，广西渔业保持绿色发展的势头，有力推动渔业结构的优化升级，进一步筑牢了我区水产养殖业绿色健康可持续发展的基础。</w:t>
      </w:r>
    </w:p>
    <w:p>
      <w:pPr>
        <w:spacing w:line="580" w:lineRule="exact"/>
        <w:ind w:firstLine="643"/>
        <w:rPr>
          <w:color w:val="000000"/>
          <w:szCs w:val="32"/>
        </w:rPr>
      </w:pPr>
      <w:r>
        <w:rPr>
          <w:rFonts w:hint="eastAsia" w:eastAsia="楷体_GB2312"/>
          <w:b/>
          <w:bCs/>
          <w:color w:val="000000"/>
        </w:rPr>
        <w:t>稻渔模式不断创新</w:t>
      </w:r>
      <w:r>
        <w:rPr>
          <w:rFonts w:hint="eastAsia" w:eastAsia="楷体_GB2312"/>
          <w:b/>
          <w:bCs/>
          <w:color w:val="000000"/>
          <w:szCs w:val="32"/>
        </w:rPr>
        <w:t>。</w:t>
      </w:r>
      <w:r>
        <w:rPr>
          <w:rFonts w:hint="eastAsia"/>
          <w:color w:val="000000"/>
          <w:szCs w:val="32"/>
        </w:rPr>
        <w:t>全区稻渔综合种养规模从“十二五”末的64.3万亩提高到120万亩，带动农民增收30亿元。自治区累计投入财政资金2亿元，建成200亩以上稻渔综合种养示范基地210个，成功创建国家级稻渔综合种养示范区2个。集成推广具有广西地方特色的十大新模式，其中“优质稻＋再生稻＋鱼＋瓜果”的“广西三江模式”成为全国典型范例。成功打造“三江稻田鲤鱼”“融水田鲤”“柳州螺蛳”等国家农产品地理标志品牌。2019年成立广西稻渔生态种养产业技术创新战略联盟，同时创立“广西稻渔丰收节"，成为全国第一个由省一级冠名、专门为稻渔综合种养设立的节日，列入了农业农村部和广西庆祝中国农民丰收节重要活动。</w:t>
      </w:r>
    </w:p>
    <w:p>
      <w:pPr>
        <w:spacing w:line="580" w:lineRule="exact"/>
        <w:ind w:firstLine="643"/>
        <w:rPr>
          <w:color w:val="000000"/>
          <w:szCs w:val="32"/>
        </w:rPr>
      </w:pPr>
      <w:r>
        <w:rPr>
          <w:rFonts w:hint="eastAsia" w:eastAsia="楷体_GB2312"/>
          <w:b/>
          <w:bCs/>
          <w:color w:val="000000"/>
        </w:rPr>
        <w:t>设施渔业有力推进</w:t>
      </w:r>
      <w:r>
        <w:rPr>
          <w:rFonts w:hint="eastAsia" w:eastAsia="楷体_GB2312"/>
          <w:b/>
          <w:bCs/>
          <w:color w:val="000000"/>
          <w:szCs w:val="32"/>
        </w:rPr>
        <w:t>。</w:t>
      </w:r>
      <w:r>
        <w:rPr>
          <w:rFonts w:hint="eastAsia"/>
          <w:color w:val="000000"/>
          <w:szCs w:val="32"/>
        </w:rPr>
        <w:t>广西</w:t>
      </w:r>
      <w:r>
        <w:rPr>
          <w:rFonts w:hint="eastAsia"/>
          <w:color w:val="000000"/>
        </w:rPr>
        <w:t>设施渔业增长势头快速，渔业结构不断优化升级，老旧池塘标准化改造持续推进，陆基圆池养殖示范基地建设成效突出，</w:t>
      </w:r>
      <w:r>
        <w:rPr>
          <w:rFonts w:hint="eastAsia"/>
          <w:color w:val="000000"/>
          <w:szCs w:val="32"/>
        </w:rPr>
        <w:t>陆基圆池循环水养殖规模和产量均位列全国前列；集装箱养殖、循环水水槽养殖、工厂化养殖、深水网箱养殖等多种养殖模式和设施渔业技术显著提升，其中工厂化养殖规模达</w:t>
      </w:r>
      <w:r>
        <w:rPr>
          <w:color w:val="000000"/>
          <w:szCs w:val="32"/>
        </w:rPr>
        <w:t>43.31</w:t>
      </w:r>
      <w:r>
        <w:rPr>
          <w:rFonts w:hint="eastAsia"/>
          <w:color w:val="000000"/>
          <w:szCs w:val="32"/>
        </w:rPr>
        <w:t>万立方米，深水网箱养殖规模达4</w:t>
      </w:r>
      <w:r>
        <w:rPr>
          <w:color w:val="000000"/>
          <w:szCs w:val="32"/>
        </w:rPr>
        <w:t>37.03</w:t>
      </w:r>
      <w:r>
        <w:rPr>
          <w:rFonts w:hint="eastAsia"/>
          <w:color w:val="000000"/>
          <w:szCs w:val="32"/>
        </w:rPr>
        <w:t>万立方米，深水网箱养殖水体位列全国第</w:t>
      </w:r>
      <w:r>
        <w:rPr>
          <w:color w:val="000000"/>
          <w:szCs w:val="32"/>
        </w:rPr>
        <w:t>3</w:t>
      </w:r>
      <w:r>
        <w:rPr>
          <w:rFonts w:hint="eastAsia"/>
          <w:color w:val="000000"/>
          <w:szCs w:val="32"/>
        </w:rPr>
        <w:t>位。</w:t>
      </w:r>
    </w:p>
    <w:p>
      <w:pPr>
        <w:spacing w:line="580" w:lineRule="exact"/>
        <w:ind w:firstLine="643"/>
        <w:rPr>
          <w:color w:val="000000"/>
          <w:szCs w:val="32"/>
        </w:rPr>
      </w:pPr>
      <w:r>
        <w:rPr>
          <w:rFonts w:hint="eastAsia" w:eastAsia="楷体_GB2312"/>
          <w:b/>
          <w:bCs/>
          <w:color w:val="000000"/>
        </w:rPr>
        <w:t>对外合作日益紧密</w:t>
      </w:r>
      <w:r>
        <w:rPr>
          <w:rFonts w:hint="eastAsia" w:eastAsia="楷体_GB2312"/>
          <w:b/>
          <w:bCs/>
          <w:color w:val="000000"/>
          <w:szCs w:val="32"/>
        </w:rPr>
        <w:t>。</w:t>
      </w:r>
      <w:r>
        <w:rPr>
          <w:rFonts w:hint="eastAsia"/>
          <w:color w:val="000000"/>
          <w:szCs w:val="32"/>
        </w:rPr>
        <w:t>全区积极融入中国</w:t>
      </w:r>
      <w:r>
        <w:rPr>
          <w:color w:val="000000"/>
          <w:szCs w:val="32"/>
        </w:rPr>
        <w:t>-</w:t>
      </w:r>
      <w:r>
        <w:rPr>
          <w:rFonts w:hint="eastAsia"/>
          <w:color w:val="000000"/>
          <w:szCs w:val="32"/>
        </w:rPr>
        <w:t>东盟合作，共建“一带一路”</w:t>
      </w:r>
      <w:r>
        <w:rPr>
          <w:color w:val="000000"/>
          <w:szCs w:val="32"/>
        </w:rPr>
        <w:t>,</w:t>
      </w:r>
      <w:r>
        <w:rPr>
          <w:rFonts w:hint="eastAsia"/>
          <w:color w:val="000000"/>
          <w:szCs w:val="32"/>
        </w:rPr>
        <w:t>先后</w:t>
      </w:r>
      <w:r>
        <w:rPr>
          <w:rFonts w:hint="eastAsia"/>
          <w:color w:val="000000"/>
        </w:rPr>
        <w:t>与文莱、马来西亚、越南开展育种繁育、海洋牧场、冷链物流加工等合作。</w:t>
      </w:r>
      <w:r>
        <w:rPr>
          <w:rFonts w:hint="eastAsia"/>
          <w:color w:val="000000"/>
          <w:szCs w:val="32"/>
        </w:rPr>
        <w:t>培育了</w:t>
      </w:r>
      <w:r>
        <w:rPr>
          <w:color w:val="000000"/>
          <w:szCs w:val="32"/>
        </w:rPr>
        <w:t>2</w:t>
      </w:r>
      <w:r>
        <w:rPr>
          <w:rFonts w:hint="eastAsia"/>
          <w:color w:val="000000"/>
          <w:szCs w:val="32"/>
        </w:rPr>
        <w:t>家远洋渔业企业，远洋渔船达到</w:t>
      </w:r>
      <w:r>
        <w:rPr>
          <w:color w:val="000000"/>
          <w:szCs w:val="32"/>
        </w:rPr>
        <w:t>23</w:t>
      </w:r>
      <w:r>
        <w:rPr>
          <w:rFonts w:hint="eastAsia"/>
          <w:color w:val="000000"/>
          <w:szCs w:val="32"/>
        </w:rPr>
        <w:t>艘，</w:t>
      </w:r>
      <w:r>
        <w:rPr>
          <w:rFonts w:hint="eastAsia"/>
          <w:color w:val="000000"/>
        </w:rPr>
        <w:t>指导企业在非洲毛里塔尼亚建设和运营远洋渔业海外基地，</w:t>
      </w:r>
      <w:r>
        <w:rPr>
          <w:rFonts w:hint="eastAsia"/>
          <w:color w:val="000000"/>
          <w:szCs w:val="32"/>
        </w:rPr>
        <w:t>推动远洋渔业持续稳定发展。</w:t>
      </w:r>
    </w:p>
    <w:p>
      <w:pPr>
        <w:widowControl w:val="0"/>
        <w:spacing w:line="580" w:lineRule="exact"/>
        <w:ind w:firstLine="640"/>
        <w:rPr>
          <w:color w:val="000000"/>
          <w:szCs w:val="32"/>
        </w:rPr>
      </w:pPr>
    </w:p>
    <w:p>
      <w:pPr>
        <w:pStyle w:val="3"/>
        <w:spacing w:line="580" w:lineRule="exact"/>
        <w:rPr>
          <w:rFonts w:ascii="Times New Roman" w:hAnsi="Times New Roman"/>
          <w:color w:val="000000"/>
        </w:rPr>
      </w:pPr>
      <w:bookmarkStart w:id="14" w:name="_Toc112791214"/>
      <w:bookmarkStart w:id="15" w:name="_Toc58667277"/>
      <w:bookmarkStart w:id="16" w:name="_Toc16413"/>
      <w:bookmarkStart w:id="17" w:name="_Toc84608462"/>
      <w:r>
        <w:rPr>
          <w:rFonts w:hint="eastAsia" w:ascii="Times New Roman" w:hAnsi="Times New Roman"/>
          <w:color w:val="000000"/>
        </w:rPr>
        <w:t>二、发展机遇</w:t>
      </w:r>
      <w:bookmarkEnd w:id="14"/>
    </w:p>
    <w:p>
      <w:pPr>
        <w:spacing w:line="580" w:lineRule="exact"/>
        <w:ind w:firstLine="643"/>
        <w:rPr>
          <w:color w:val="000000"/>
        </w:rPr>
      </w:pPr>
      <w:r>
        <w:rPr>
          <w:rFonts w:hint="eastAsia" w:eastAsia="楷体_GB2312"/>
          <w:b/>
          <w:bCs/>
          <w:color w:val="000000"/>
        </w:rPr>
        <w:t>政策环境更加优化。</w:t>
      </w:r>
      <w:r>
        <w:rPr>
          <w:rFonts w:hint="eastAsia"/>
          <w:color w:val="000000"/>
        </w:rPr>
        <w:t>国家高度重视现代渔业发展，出台了《关于加快推进水产养殖业绿色发展的若干意见》《关于推进大水面生态渔业发展的指导意见》《关于实施渔业发展支持政策推动渔业高质量发展的通知》等政策文件，自治区出台了《关于促进现代渔业跨越发展的意见》《</w:t>
      </w:r>
      <w:r>
        <w:rPr>
          <w:color w:val="000000"/>
        </w:rPr>
        <w:t>2020</w:t>
      </w:r>
      <w:r>
        <w:rPr>
          <w:rFonts w:hint="eastAsia"/>
          <w:color w:val="000000"/>
        </w:rPr>
        <w:t>年广西打造千亿元现代渔业产业行动方案》等文件，渔业支持保护持续加力，更多资源要素向渔业集聚</w:t>
      </w:r>
      <w:r>
        <w:rPr>
          <w:color w:val="000000"/>
        </w:rPr>
        <w:t>,</w:t>
      </w:r>
      <w:r>
        <w:rPr>
          <w:rFonts w:hint="eastAsia"/>
          <w:color w:val="000000"/>
        </w:rPr>
        <w:t>为推进渔业高质量发展和现代化建设提供有力支撑。</w:t>
      </w:r>
    </w:p>
    <w:p>
      <w:pPr>
        <w:spacing w:line="580" w:lineRule="exact"/>
        <w:ind w:firstLine="643"/>
        <w:rPr>
          <w:b/>
          <w:bCs/>
          <w:color w:val="000000"/>
        </w:rPr>
      </w:pPr>
      <w:r>
        <w:rPr>
          <w:rFonts w:hint="eastAsia" w:eastAsia="楷体_GB2312"/>
          <w:b/>
          <w:bCs/>
          <w:color w:val="000000"/>
        </w:rPr>
        <w:t>战略合作不断深入</w:t>
      </w:r>
      <w:r>
        <w:rPr>
          <w:rFonts w:hint="eastAsia" w:eastAsia="楷体_GB2312"/>
          <w:b/>
          <w:bCs/>
          <w:color w:val="000000"/>
          <w:kern w:val="0"/>
          <w:szCs w:val="32"/>
          <w:lang w:val="zh-CN"/>
        </w:rPr>
        <w:t>。</w:t>
      </w:r>
      <w:r>
        <w:rPr>
          <w:rFonts w:hint="eastAsia"/>
          <w:color w:val="000000"/>
          <w:kern w:val="0"/>
          <w:szCs w:val="32"/>
          <w:lang w:val="zh-CN"/>
        </w:rPr>
        <w:t>《广西高质量实施</w:t>
      </w:r>
      <w:r>
        <w:rPr>
          <w:color w:val="000000"/>
          <w:kern w:val="0"/>
          <w:szCs w:val="32"/>
          <w:lang w:val="zh-CN"/>
        </w:rPr>
        <w:t>RCEP</w:t>
      </w:r>
      <w:r>
        <w:rPr>
          <w:rFonts w:hint="eastAsia"/>
          <w:color w:val="000000"/>
          <w:kern w:val="0"/>
          <w:szCs w:val="32"/>
          <w:lang w:val="zh-CN"/>
        </w:rPr>
        <w:t>行动方案（</w:t>
      </w:r>
      <w:r>
        <w:rPr>
          <w:color w:val="000000"/>
          <w:kern w:val="0"/>
          <w:szCs w:val="32"/>
          <w:lang w:val="zh-CN"/>
        </w:rPr>
        <w:t>2022</w:t>
      </w:r>
      <w:r>
        <w:rPr>
          <w:rFonts w:hint="eastAsia"/>
          <w:color w:val="000000"/>
          <w:kern w:val="0"/>
          <w:szCs w:val="32"/>
          <w:lang w:val="zh-CN"/>
        </w:rPr>
        <w:t>—</w:t>
      </w:r>
      <w:r>
        <w:rPr>
          <w:color w:val="000000"/>
          <w:kern w:val="0"/>
          <w:szCs w:val="32"/>
          <w:lang w:val="zh-CN"/>
        </w:rPr>
        <w:t>2025</w:t>
      </w:r>
      <w:r>
        <w:rPr>
          <w:rFonts w:hint="eastAsia"/>
          <w:color w:val="000000"/>
          <w:kern w:val="0"/>
          <w:szCs w:val="32"/>
          <w:lang w:val="zh-CN"/>
        </w:rPr>
        <w:t>年）》提出要抢抓</w:t>
      </w:r>
      <w:r>
        <w:rPr>
          <w:color w:val="000000"/>
          <w:kern w:val="0"/>
          <w:szCs w:val="32"/>
          <w:lang w:val="zh-CN"/>
        </w:rPr>
        <w:t>RCEP</w:t>
      </w:r>
      <w:r>
        <w:rPr>
          <w:rFonts w:hint="eastAsia"/>
          <w:color w:val="000000"/>
          <w:kern w:val="0"/>
          <w:szCs w:val="32"/>
          <w:lang w:val="zh-CN"/>
        </w:rPr>
        <w:t>发展机遇，推动“走出去”高质量发展，推动渔业优势企业优化海外市场布局，参与国际产业链供应链重塑，建立境外能源基地等要求，把广西渔业对外开放合作推向更高水平。东盟已连续</w:t>
      </w:r>
      <w:r>
        <w:rPr>
          <w:color w:val="000000"/>
          <w:kern w:val="0"/>
          <w:szCs w:val="32"/>
          <w:lang w:val="zh-CN"/>
        </w:rPr>
        <w:t>20</w:t>
      </w:r>
      <w:r>
        <w:rPr>
          <w:rFonts w:hint="eastAsia"/>
          <w:color w:val="000000"/>
          <w:kern w:val="0"/>
          <w:szCs w:val="32"/>
          <w:lang w:val="zh-CN"/>
        </w:rPr>
        <w:t>年成为我区第一大贸易伙伴、第二大利用外资来源地，是我区渔业</w:t>
      </w:r>
      <w:r>
        <w:rPr>
          <w:color w:val="000000"/>
          <w:kern w:val="0"/>
          <w:szCs w:val="32"/>
          <w:lang w:val="zh-CN"/>
        </w:rPr>
        <w:t>“</w:t>
      </w:r>
      <w:r>
        <w:rPr>
          <w:rFonts w:hint="eastAsia"/>
          <w:color w:val="000000"/>
          <w:kern w:val="0"/>
          <w:szCs w:val="32"/>
          <w:lang w:val="zh-CN"/>
        </w:rPr>
        <w:t>走出去</w:t>
      </w:r>
      <w:r>
        <w:rPr>
          <w:color w:val="000000"/>
          <w:kern w:val="0"/>
          <w:szCs w:val="32"/>
          <w:lang w:val="zh-CN"/>
        </w:rPr>
        <w:t>”</w:t>
      </w:r>
      <w:r>
        <w:rPr>
          <w:rFonts w:hint="eastAsia"/>
          <w:color w:val="000000"/>
          <w:kern w:val="0"/>
          <w:szCs w:val="32"/>
          <w:lang w:val="zh-CN"/>
        </w:rPr>
        <w:t>的重点地区，以公铁、空铁、海铁联运为基础的南宁国际铁路港将于</w:t>
      </w:r>
      <w:r>
        <w:rPr>
          <w:color w:val="000000"/>
          <w:kern w:val="0"/>
          <w:szCs w:val="32"/>
          <w:lang w:val="zh-CN"/>
        </w:rPr>
        <w:t>2023</w:t>
      </w:r>
      <w:r>
        <w:rPr>
          <w:rFonts w:hint="eastAsia"/>
          <w:color w:val="000000"/>
          <w:kern w:val="0"/>
          <w:szCs w:val="32"/>
          <w:lang w:val="zh-CN"/>
        </w:rPr>
        <w:t>年底基本建成。广西作为“一带一路”有机衔接重要门户的战略地位日益凸显，随着“一带一路”倡议</w:t>
      </w:r>
      <w:bookmarkStart w:id="143" w:name="_GoBack"/>
      <w:bookmarkEnd w:id="143"/>
      <w:r>
        <w:rPr>
          <w:rFonts w:hint="eastAsia"/>
          <w:color w:val="000000"/>
          <w:kern w:val="0"/>
          <w:szCs w:val="32"/>
          <w:lang w:val="zh-CN"/>
        </w:rPr>
        <w:t>的加速推进，广西渔业有望在战略合作中拓展新的发展空间。</w:t>
      </w:r>
    </w:p>
    <w:p>
      <w:pPr>
        <w:spacing w:line="580" w:lineRule="exact"/>
        <w:ind w:firstLine="643"/>
        <w:rPr>
          <w:color w:val="000000"/>
          <w:kern w:val="0"/>
          <w:lang w:val="zh-CN"/>
        </w:rPr>
      </w:pPr>
      <w:r>
        <w:rPr>
          <w:rFonts w:hint="eastAsia" w:eastAsia="楷体_GB2312"/>
          <w:b/>
          <w:bCs/>
          <w:color w:val="000000"/>
        </w:rPr>
        <w:t>渔业基础持续升级</w:t>
      </w:r>
      <w:r>
        <w:rPr>
          <w:rFonts w:hint="eastAsia" w:eastAsia="楷体_GB2312"/>
          <w:b/>
          <w:bCs/>
          <w:color w:val="000000"/>
          <w:kern w:val="0"/>
          <w:lang w:val="zh-CN"/>
        </w:rPr>
        <w:t>。</w:t>
      </w:r>
      <w:r>
        <w:rPr>
          <w:rFonts w:hint="eastAsia"/>
          <w:color w:val="000000"/>
          <w:kern w:val="0"/>
          <w:lang w:val="zh-CN"/>
        </w:rPr>
        <w:t>新一轮科技革命深入发展，渔业科研院校力量不断加强，新模式新技术新材料广泛应用，北斗、</w:t>
      </w:r>
      <w:r>
        <w:rPr>
          <w:color w:val="000000"/>
          <w:kern w:val="0"/>
          <w:lang w:val="zh-CN"/>
        </w:rPr>
        <w:t>5G</w:t>
      </w:r>
      <w:r>
        <w:rPr>
          <w:rFonts w:hint="eastAsia"/>
          <w:color w:val="000000"/>
          <w:kern w:val="0"/>
          <w:lang w:val="zh-CN"/>
        </w:rPr>
        <w:t>、物联网、大数据等信息技术加快在渔业领域转化应用，全区节能、节水</w:t>
      </w:r>
      <w:r>
        <w:rPr>
          <w:rFonts w:hint="eastAsia" w:eastAsia="微软雅黑"/>
          <w:color w:val="000000"/>
          <w:kern w:val="0"/>
          <w:lang w:val="zh-CN"/>
        </w:rPr>
        <w:t>、</w:t>
      </w:r>
      <w:r>
        <w:rPr>
          <w:rFonts w:hint="eastAsia"/>
          <w:color w:val="000000"/>
          <w:kern w:val="0"/>
          <w:lang w:val="zh-CN"/>
        </w:rPr>
        <w:t>生态、高效、安全的现代养殖模式全面推广，推进了养殖生产与资源环保、加工流通、休闲渔业等产业的融合发展，为全区渔业转型升级提供坚强的装备技术保障。</w:t>
      </w:r>
    </w:p>
    <w:p>
      <w:pPr>
        <w:spacing w:line="580" w:lineRule="exact"/>
        <w:ind w:firstLine="643"/>
        <w:rPr>
          <w:color w:val="000000"/>
          <w:lang w:val="zh-CN"/>
        </w:rPr>
      </w:pPr>
      <w:r>
        <w:rPr>
          <w:rFonts w:hint="eastAsia" w:eastAsia="楷体_GB2312"/>
          <w:b/>
          <w:bCs/>
          <w:color w:val="000000"/>
          <w:lang w:val="zh-CN"/>
        </w:rPr>
        <w:t>消费需求更加多样。</w:t>
      </w:r>
      <w:r>
        <w:rPr>
          <w:rFonts w:hint="eastAsia"/>
          <w:color w:val="000000"/>
          <w:lang w:val="zh-CN"/>
        </w:rPr>
        <w:t>随着城乡居民收入的提高和对健康生活的追求，人们对高品质水产品的消费需求将提升，水产品由过去的区域性、季节性消费转为全民消费、常年消费，水产品预制菜、渔业文化、休闲体验等消费已经成为渔业经济新的增长点，将为渔业产业发展创造新的更为广阔的空间，进而促进渔业向绿色、生态和高品质方向发展。</w:t>
      </w:r>
    </w:p>
    <w:p>
      <w:pPr>
        <w:pStyle w:val="3"/>
        <w:keepNext w:val="0"/>
        <w:keepLines w:val="0"/>
        <w:widowControl w:val="0"/>
        <w:spacing w:line="580" w:lineRule="exact"/>
        <w:ind w:firstLine="200"/>
        <w:rPr>
          <w:rFonts w:ascii="Times New Roman" w:hAnsi="Times New Roman"/>
          <w:color w:val="000000"/>
        </w:rPr>
      </w:pPr>
      <w:bookmarkStart w:id="18" w:name="_Toc112791215"/>
      <w:r>
        <w:rPr>
          <w:rFonts w:hint="eastAsia" w:ascii="Times New Roman" w:hAnsi="Times New Roman"/>
          <w:color w:val="000000"/>
        </w:rPr>
        <w:t>三、</w:t>
      </w:r>
      <w:bookmarkEnd w:id="15"/>
      <w:bookmarkEnd w:id="16"/>
      <w:bookmarkEnd w:id="17"/>
      <w:r>
        <w:rPr>
          <w:rFonts w:hint="eastAsia" w:ascii="Times New Roman" w:hAnsi="Times New Roman"/>
          <w:color w:val="000000"/>
        </w:rPr>
        <w:t>面临挑战</w:t>
      </w:r>
      <w:bookmarkEnd w:id="18"/>
    </w:p>
    <w:p>
      <w:pPr>
        <w:spacing w:line="580" w:lineRule="exact"/>
        <w:ind w:firstLine="643"/>
        <w:rPr>
          <w:color w:val="000000"/>
        </w:rPr>
      </w:pPr>
      <w:r>
        <w:rPr>
          <w:rFonts w:hint="eastAsia" w:eastAsia="楷体_GB2312"/>
          <w:b/>
          <w:bCs/>
          <w:color w:val="000000"/>
        </w:rPr>
        <w:t>渔业养殖空间受到挤压。</w:t>
      </w:r>
      <w:r>
        <w:rPr>
          <w:rFonts w:hint="eastAsia"/>
          <w:color w:val="000000"/>
        </w:rPr>
        <w:t>传统养殖空间日益受限，近岸传统养殖区养殖面积进一步减少。部分地区在处理水产养殖和环境保护问题时，对网箱、围栏“一禁了之、一拆了之”。导致渔业发展愈发困难，生产成本持续上涨，渔业比较效益优势不断下降。</w:t>
      </w:r>
    </w:p>
    <w:p>
      <w:pPr>
        <w:spacing w:line="580" w:lineRule="exact"/>
        <w:ind w:firstLine="643"/>
        <w:rPr>
          <w:color w:val="000000"/>
        </w:rPr>
      </w:pPr>
      <w:bookmarkStart w:id="19" w:name="_Hlk112506113"/>
      <w:r>
        <w:rPr>
          <w:rFonts w:hint="eastAsia" w:eastAsia="楷体_GB2312"/>
          <w:b/>
          <w:bCs/>
          <w:color w:val="000000"/>
          <w:szCs w:val="32"/>
        </w:rPr>
        <w:t>设施渔业</w:t>
      </w:r>
      <w:bookmarkEnd w:id="19"/>
      <w:r>
        <w:rPr>
          <w:rFonts w:hint="eastAsia" w:eastAsia="楷体_GB2312"/>
          <w:b/>
          <w:bCs/>
          <w:color w:val="000000"/>
          <w:szCs w:val="32"/>
        </w:rPr>
        <w:t>发展基础比较薄弱。</w:t>
      </w:r>
      <w:r>
        <w:rPr>
          <w:rFonts w:hint="eastAsia"/>
          <w:color w:val="000000"/>
        </w:rPr>
        <w:t>全区设施渔业发展普遍存在用地、用水、用电难的问题，设施渔业建设受到土地性质限制影响，企业难以找到合适用地，土地调规困难，部分地区未落实农业用水用电优惠政策。全区养殖池塘老化严重。重力式深水网箱建设门槛较高，企业前期需要投入较多资金，风险保障机制不完善，养殖用海存在</w:t>
      </w:r>
      <w:r>
        <w:rPr>
          <w:color w:val="000000"/>
        </w:rPr>
        <w:t>“</w:t>
      </w:r>
      <w:r>
        <w:rPr>
          <w:rFonts w:hint="eastAsia"/>
          <w:color w:val="000000"/>
        </w:rPr>
        <w:t>招拍挂</w:t>
      </w:r>
      <w:r>
        <w:rPr>
          <w:color w:val="000000"/>
        </w:rPr>
        <w:t>”</w:t>
      </w:r>
      <w:r>
        <w:rPr>
          <w:rFonts w:hint="eastAsia"/>
          <w:color w:val="000000"/>
        </w:rPr>
        <w:t>滞后问题。</w:t>
      </w:r>
    </w:p>
    <w:p>
      <w:pPr>
        <w:spacing w:line="580" w:lineRule="exact"/>
        <w:ind w:firstLine="643"/>
        <w:rPr>
          <w:color w:val="000000"/>
          <w:szCs w:val="32"/>
        </w:rPr>
      </w:pPr>
      <w:r>
        <w:rPr>
          <w:rFonts w:hint="eastAsia" w:eastAsia="楷体_GB2312"/>
          <w:b/>
          <w:bCs/>
          <w:color w:val="000000"/>
          <w:szCs w:val="32"/>
        </w:rPr>
        <w:t>水产原良种体系建设滞后。</w:t>
      </w:r>
      <w:r>
        <w:rPr>
          <w:rFonts w:hint="eastAsia"/>
          <w:color w:val="000000"/>
          <w:szCs w:val="32"/>
        </w:rPr>
        <w:t>种业体系不够健全，良种覆盖率偏低，水产苗种尤其是优质苗种自给能力不足，罗非鱼、卵形鲳</w:t>
      </w:r>
      <w:r>
        <w:rPr>
          <w:rFonts w:hint="eastAsia" w:eastAsia="仿宋"/>
          <w:color w:val="000000"/>
          <w:szCs w:val="32"/>
        </w:rPr>
        <w:t>鲹</w:t>
      </w:r>
      <w:r>
        <w:rPr>
          <w:rFonts w:hint="eastAsia"/>
          <w:color w:val="000000"/>
          <w:szCs w:val="32"/>
        </w:rPr>
        <w:t>和对虾等苗种来自广东、海南等省。同时水生动物病害防治、水产品质量安全监测、养殖技术推广等服务和保障体系建设仍然不健全。</w:t>
      </w:r>
    </w:p>
    <w:p>
      <w:pPr>
        <w:spacing w:line="580" w:lineRule="exact"/>
        <w:ind w:firstLine="643"/>
        <w:rPr>
          <w:color w:val="000000"/>
          <w:lang w:val="zh-CN"/>
        </w:rPr>
      </w:pPr>
      <w:r>
        <w:rPr>
          <w:rFonts w:hint="eastAsia" w:eastAsia="楷体_GB2312"/>
          <w:b/>
          <w:bCs/>
          <w:color w:val="000000"/>
        </w:rPr>
        <w:t>渔业生态环境保护形势严峻</w:t>
      </w:r>
      <w:r>
        <w:rPr>
          <w:rFonts w:hint="eastAsia" w:eastAsia="楷体_GB2312"/>
          <w:b/>
          <w:bCs/>
          <w:color w:val="000000"/>
          <w:lang w:val="zh-CN"/>
        </w:rPr>
        <w:t>。</w:t>
      </w:r>
      <w:r>
        <w:rPr>
          <w:rFonts w:hint="eastAsia"/>
          <w:color w:val="000000"/>
          <w:lang w:val="zh-CN"/>
        </w:rPr>
        <w:t>渔业资源保护有待加强。全区渔业资源状况虽有恢复性迹象，但长期过度捕捞、环境污染、渔业生境受损，使得渔业资源衰退势头未能得到根本性遏制，资源基础依然脆弱、修复手段不多、养护效果不明显等问题依然存在。以渔业资源监测评估为基础的捕捞业产出管理制度亟待完善。</w:t>
      </w:r>
    </w:p>
    <w:p>
      <w:pPr>
        <w:spacing w:line="580" w:lineRule="exact"/>
        <w:ind w:firstLine="643"/>
        <w:rPr>
          <w:color w:val="000000"/>
          <w:lang w:val="zh-CN"/>
        </w:rPr>
      </w:pPr>
      <w:r>
        <w:rPr>
          <w:rFonts w:hint="eastAsia" w:eastAsia="楷体_GB2312"/>
          <w:b/>
          <w:bCs/>
          <w:color w:val="000000"/>
        </w:rPr>
        <w:t>捕捞渔民转产转业难度大</w:t>
      </w:r>
      <w:r>
        <w:rPr>
          <w:rFonts w:hint="eastAsia" w:eastAsia="楷体_GB2312"/>
          <w:b/>
          <w:bCs/>
          <w:color w:val="000000"/>
          <w:lang w:val="zh-CN"/>
        </w:rPr>
        <w:t>。</w:t>
      </w:r>
      <w:r>
        <w:rPr>
          <w:rFonts w:hint="eastAsia"/>
          <w:color w:val="000000"/>
          <w:lang w:val="zh-CN"/>
        </w:rPr>
        <w:t>全区捕捞渔民转产转业仍存在不少问题，改革力度有待加强。如渔民群众转产转业的门路不多，缺乏就业渠道。传统渔民普遍存在年龄偏大、受教育程度偏低、生产技能偏弱等问题，转产转业困难，影响渔业资源的可持续利用。</w:t>
      </w:r>
    </w:p>
    <w:bookmarkEnd w:id="4"/>
    <w:bookmarkEnd w:id="5"/>
    <w:bookmarkEnd w:id="6"/>
    <w:bookmarkEnd w:id="7"/>
    <w:bookmarkEnd w:id="8"/>
    <w:p>
      <w:pPr>
        <w:widowControl w:val="0"/>
        <w:ind w:firstLine="0" w:firstLineChars="0"/>
        <w:rPr>
          <w:color w:val="000000"/>
        </w:rPr>
      </w:pPr>
      <w:bookmarkStart w:id="20" w:name="_Toc58667297"/>
      <w:bookmarkStart w:id="21" w:name="_Toc73632423"/>
      <w:bookmarkStart w:id="22" w:name="_Toc84608493"/>
    </w:p>
    <w:p>
      <w:pPr>
        <w:pStyle w:val="2"/>
        <w:rPr>
          <w:rFonts w:eastAsia="方正小标宋简体"/>
          <w:color w:val="000000"/>
        </w:rPr>
      </w:pPr>
      <w:bookmarkStart w:id="23" w:name="_Toc112791216"/>
      <w:r>
        <w:rPr>
          <w:rFonts w:hint="eastAsia" w:eastAsia="方正小标宋简体"/>
          <w:color w:val="000000"/>
        </w:rPr>
        <w:t>第二章</w:t>
      </w:r>
      <w:r>
        <w:rPr>
          <w:rFonts w:eastAsia="方正小标宋简体"/>
          <w:color w:val="000000"/>
        </w:rPr>
        <w:t xml:space="preserve">  </w:t>
      </w:r>
      <w:r>
        <w:rPr>
          <w:rFonts w:hint="eastAsia" w:eastAsia="方正小标宋简体"/>
          <w:color w:val="000000"/>
        </w:rPr>
        <w:t>总体要求</w:t>
      </w:r>
      <w:bookmarkEnd w:id="20"/>
      <w:bookmarkEnd w:id="21"/>
      <w:bookmarkEnd w:id="23"/>
    </w:p>
    <w:p>
      <w:pPr>
        <w:widowControl w:val="0"/>
        <w:ind w:firstLine="640"/>
        <w:rPr>
          <w:color w:val="000000"/>
        </w:rPr>
      </w:pPr>
    </w:p>
    <w:p>
      <w:pPr>
        <w:widowControl w:val="0"/>
        <w:spacing w:after="240"/>
        <w:ind w:firstLine="640"/>
        <w:rPr>
          <w:color w:val="000000"/>
          <w:kern w:val="0"/>
          <w:szCs w:val="32"/>
          <w:lang w:val="zh-CN"/>
        </w:rPr>
      </w:pPr>
      <w:r>
        <w:rPr>
          <w:rFonts w:hint="eastAsia"/>
          <w:color w:val="000000"/>
        </w:rPr>
        <w:t>推进全区渔业高质量发展，以创新、协调、绿色、开放、共享的发展理念为目标，谋划新思路，实现新发展</w:t>
      </w:r>
      <w:r>
        <w:rPr>
          <w:rFonts w:hint="eastAsia"/>
          <w:color w:val="000000"/>
          <w:kern w:val="0"/>
          <w:szCs w:val="32"/>
          <w:lang w:val="zh-CN"/>
        </w:rPr>
        <w:t>。</w:t>
      </w:r>
    </w:p>
    <w:p>
      <w:pPr>
        <w:pStyle w:val="3"/>
        <w:rPr>
          <w:rFonts w:ascii="Times New Roman" w:hAnsi="Times New Roman"/>
          <w:color w:val="000000"/>
        </w:rPr>
      </w:pPr>
      <w:bookmarkStart w:id="24" w:name="_Toc73632424"/>
      <w:bookmarkStart w:id="25" w:name="_Toc58667298"/>
      <w:bookmarkStart w:id="26" w:name="_Toc112791217"/>
      <w:r>
        <w:rPr>
          <w:rFonts w:hint="eastAsia" w:ascii="Times New Roman" w:hAnsi="Times New Roman"/>
          <w:color w:val="000000"/>
        </w:rPr>
        <w:t>一、指导思想</w:t>
      </w:r>
      <w:bookmarkEnd w:id="24"/>
      <w:bookmarkEnd w:id="25"/>
      <w:bookmarkEnd w:id="26"/>
    </w:p>
    <w:p>
      <w:pPr>
        <w:widowControl w:val="0"/>
        <w:autoSpaceDE w:val="0"/>
        <w:autoSpaceDN w:val="0"/>
        <w:adjustRightInd w:val="0"/>
        <w:snapToGrid w:val="0"/>
        <w:spacing w:after="240"/>
        <w:ind w:firstLine="640"/>
        <w:rPr>
          <w:color w:val="000000"/>
          <w:kern w:val="0"/>
          <w:szCs w:val="32"/>
          <w:lang w:val="zh-CN"/>
        </w:rPr>
      </w:pPr>
      <w:r>
        <w:rPr>
          <w:rFonts w:hint="eastAsia"/>
          <w:color w:val="000000"/>
          <w:kern w:val="0"/>
          <w:szCs w:val="32"/>
          <w:lang w:val="zh-CN"/>
        </w:rPr>
        <w:t>以习近平新时代中国特色社会主义思想为指导，全面贯彻落实党的十九大和十九届历次全会精神</w:t>
      </w:r>
      <w:r>
        <w:rPr>
          <w:rFonts w:hint="eastAsia"/>
          <w:color w:val="000000"/>
          <w:szCs w:val="32"/>
        </w:rPr>
        <w:t>，</w:t>
      </w:r>
      <w:r>
        <w:rPr>
          <w:rFonts w:hint="eastAsia"/>
          <w:color w:val="000000"/>
          <w:kern w:val="0"/>
          <w:szCs w:val="32"/>
          <w:lang w:val="zh-CN"/>
        </w:rPr>
        <w:t>以实施乡村振兴战略为总抓手，以推进渔业供给侧结构性改革为主线，以生态健康可持续发展为方向，以树立大食物观、向江河湖海要食物、稳产保供为前提，以构建完善现代渔业产业体系、生产体系和经营体系为途径，以强化服务监管、行政执法和支撑能力建设为保障，充分发挥政策、区位、资源和市场优势，加快产业结构调整和发展方式转变，做大做强水产养殖业，统筹发展捕捞业，积极发展增殖业，突出发展二三产业，深化发展外向型渔业，</w:t>
      </w:r>
      <w:r>
        <w:rPr>
          <w:rFonts w:hint="eastAsia"/>
          <w:color w:val="000000"/>
          <w:szCs w:val="32"/>
        </w:rPr>
        <w:t>构建渔业高质量发展新格局，推动全区从</w:t>
      </w:r>
      <w:r>
        <w:rPr>
          <w:rFonts w:hint="eastAsia"/>
          <w:color w:val="000000"/>
          <w:kern w:val="0"/>
          <w:szCs w:val="32"/>
          <w:lang w:val="zh-CN"/>
        </w:rPr>
        <w:t>渔业大区向渔业强区迈进。</w:t>
      </w:r>
    </w:p>
    <w:p>
      <w:pPr>
        <w:pStyle w:val="3"/>
        <w:rPr>
          <w:rFonts w:ascii="Times New Roman" w:hAnsi="Times New Roman"/>
          <w:color w:val="000000"/>
        </w:rPr>
      </w:pPr>
      <w:bookmarkStart w:id="27" w:name="_Toc112791218"/>
      <w:bookmarkStart w:id="28" w:name="_Toc73632425"/>
      <w:bookmarkStart w:id="29" w:name="_Toc58667299"/>
      <w:r>
        <w:rPr>
          <w:rFonts w:hint="eastAsia" w:ascii="Times New Roman" w:hAnsi="Times New Roman"/>
          <w:color w:val="000000"/>
        </w:rPr>
        <w:t>二、基本原则</w:t>
      </w:r>
      <w:bookmarkEnd w:id="27"/>
      <w:bookmarkEnd w:id="28"/>
      <w:bookmarkEnd w:id="29"/>
    </w:p>
    <w:p>
      <w:pPr>
        <w:widowControl w:val="0"/>
        <w:autoSpaceDE w:val="0"/>
        <w:autoSpaceDN w:val="0"/>
        <w:adjustRightInd w:val="0"/>
        <w:snapToGrid w:val="0"/>
        <w:ind w:firstLine="643"/>
        <w:rPr>
          <w:color w:val="000000"/>
          <w:kern w:val="0"/>
          <w:szCs w:val="32"/>
          <w:lang w:val="zh-CN"/>
        </w:rPr>
      </w:pPr>
      <w:bookmarkStart w:id="30" w:name="_Toc72323608"/>
      <w:bookmarkStart w:id="31" w:name="_Toc69812260"/>
      <w:bookmarkStart w:id="32" w:name="_Toc73632426"/>
      <w:r>
        <w:rPr>
          <w:rFonts w:hint="eastAsia"/>
          <w:b/>
          <w:bCs/>
          <w:color w:val="000000"/>
          <w:kern w:val="0"/>
          <w:szCs w:val="32"/>
          <w:lang w:val="zh-CN"/>
        </w:rPr>
        <w:t>坚持政府引导、市场主导</w:t>
      </w:r>
      <w:bookmarkEnd w:id="30"/>
      <w:bookmarkEnd w:id="31"/>
      <w:bookmarkEnd w:id="32"/>
      <w:r>
        <w:rPr>
          <w:rFonts w:hint="eastAsia"/>
          <w:b/>
          <w:bCs/>
          <w:color w:val="000000"/>
          <w:kern w:val="0"/>
          <w:szCs w:val="32"/>
          <w:lang w:val="zh-CN"/>
        </w:rPr>
        <w:t>。</w:t>
      </w:r>
      <w:r>
        <w:rPr>
          <w:rFonts w:hint="eastAsia"/>
          <w:color w:val="000000"/>
          <w:kern w:val="0"/>
          <w:szCs w:val="32"/>
          <w:lang w:val="zh-CN"/>
        </w:rPr>
        <w:t>充分利用国家和地方支持渔业发展等相关政策，强化养殖业地位，充分调动渔户、渔民专业合作社和企业等渔业生产经营者的积极性，切实发挥市场的决定性作用。</w:t>
      </w:r>
      <w:bookmarkStart w:id="33" w:name="_Toc58667301"/>
      <w:bookmarkStart w:id="34" w:name="_Toc69812261"/>
      <w:bookmarkStart w:id="35" w:name="_Toc72323609"/>
      <w:bookmarkStart w:id="36" w:name="_Toc73632427"/>
    </w:p>
    <w:p>
      <w:pPr>
        <w:ind w:firstLine="643"/>
        <w:rPr>
          <w:color w:val="000000"/>
          <w:lang w:val="zh-CN"/>
        </w:rPr>
      </w:pPr>
      <w:r>
        <w:rPr>
          <w:rFonts w:hint="eastAsia"/>
          <w:b/>
          <w:bCs/>
          <w:color w:val="000000"/>
          <w:lang w:val="zh-CN"/>
        </w:rPr>
        <w:t>坚持</w:t>
      </w:r>
      <w:bookmarkEnd w:id="33"/>
      <w:r>
        <w:rPr>
          <w:rFonts w:hint="eastAsia"/>
          <w:b/>
          <w:bCs/>
          <w:color w:val="000000"/>
          <w:lang w:val="zh-CN"/>
        </w:rPr>
        <w:t>科技引领、创新驱动</w:t>
      </w:r>
      <w:bookmarkEnd w:id="34"/>
      <w:bookmarkEnd w:id="35"/>
      <w:bookmarkEnd w:id="36"/>
      <w:r>
        <w:rPr>
          <w:rFonts w:hint="eastAsia"/>
          <w:b/>
          <w:bCs/>
          <w:color w:val="000000"/>
          <w:lang w:val="zh-CN"/>
        </w:rPr>
        <w:t>。</w:t>
      </w:r>
      <w:r>
        <w:rPr>
          <w:rFonts w:hint="eastAsia"/>
          <w:color w:val="000000"/>
        </w:rPr>
        <w:t>把科技创新作为战略支撑，着力突破关键技术，研发核心装备，健全科研体系，强化技术服务，以创新引领渔业高质量发展。推进生产、经营、管理创新，激发人才和市场主体创新活力，增添渔业发展新动能。</w:t>
      </w:r>
      <w:bookmarkStart w:id="37" w:name="_Toc58667302"/>
      <w:bookmarkStart w:id="38" w:name="_Toc73632428"/>
      <w:bookmarkStart w:id="39" w:name="_Toc69812262"/>
      <w:bookmarkStart w:id="40" w:name="_Toc72323610"/>
    </w:p>
    <w:p>
      <w:pPr>
        <w:widowControl w:val="0"/>
        <w:autoSpaceDE w:val="0"/>
        <w:autoSpaceDN w:val="0"/>
        <w:adjustRightInd w:val="0"/>
        <w:snapToGrid w:val="0"/>
        <w:ind w:firstLine="643"/>
        <w:rPr>
          <w:b/>
          <w:bCs/>
          <w:color w:val="000000"/>
          <w:kern w:val="0"/>
          <w:szCs w:val="32"/>
          <w:lang w:val="zh-CN"/>
        </w:rPr>
      </w:pPr>
      <w:r>
        <w:rPr>
          <w:rFonts w:hint="eastAsia"/>
          <w:b/>
          <w:bCs/>
          <w:color w:val="000000"/>
          <w:kern w:val="0"/>
          <w:szCs w:val="32"/>
          <w:lang w:val="zh-CN"/>
        </w:rPr>
        <w:t>坚持</w:t>
      </w:r>
      <w:bookmarkEnd w:id="37"/>
      <w:r>
        <w:rPr>
          <w:rFonts w:hint="eastAsia"/>
          <w:b/>
          <w:bCs/>
          <w:color w:val="000000"/>
          <w:kern w:val="0"/>
          <w:szCs w:val="32"/>
          <w:lang w:val="zh-CN"/>
        </w:rPr>
        <w:t>质量兴渔、产业融合</w:t>
      </w:r>
      <w:bookmarkEnd w:id="38"/>
      <w:bookmarkEnd w:id="39"/>
      <w:bookmarkEnd w:id="40"/>
      <w:r>
        <w:rPr>
          <w:rFonts w:hint="eastAsia"/>
          <w:b/>
          <w:bCs/>
          <w:color w:val="000000"/>
          <w:kern w:val="0"/>
          <w:szCs w:val="32"/>
          <w:lang w:val="zh-CN"/>
        </w:rPr>
        <w:t>。</w:t>
      </w:r>
      <w:r>
        <w:rPr>
          <w:rFonts w:hint="eastAsia"/>
          <w:color w:val="000000"/>
          <w:kern w:val="0"/>
          <w:szCs w:val="32"/>
          <w:lang w:val="zh-CN"/>
        </w:rPr>
        <w:t>围绕高质量发展目标，提升水产品品质，实施品牌战略，提高质量效益。发挥大水面渔业优势特点，大力发展精深加工和休闲渔业，推进一二三产业融合发展，不断延伸产业链，提升价值链。</w:t>
      </w:r>
      <w:bookmarkStart w:id="41" w:name="_Toc69812263"/>
      <w:bookmarkStart w:id="42" w:name="_Toc73632429"/>
      <w:bookmarkStart w:id="43" w:name="_Toc72323611"/>
      <w:bookmarkStart w:id="44" w:name="_Toc58667303"/>
    </w:p>
    <w:p>
      <w:pPr>
        <w:widowControl w:val="0"/>
        <w:autoSpaceDE w:val="0"/>
        <w:autoSpaceDN w:val="0"/>
        <w:adjustRightInd w:val="0"/>
        <w:snapToGrid w:val="0"/>
        <w:ind w:firstLine="643"/>
        <w:rPr>
          <w:b/>
          <w:bCs/>
          <w:color w:val="000000"/>
          <w:kern w:val="0"/>
          <w:szCs w:val="32"/>
          <w:lang w:val="zh-CN"/>
        </w:rPr>
      </w:pPr>
      <w:r>
        <w:rPr>
          <w:rFonts w:hint="eastAsia"/>
          <w:b/>
          <w:bCs/>
          <w:color w:val="000000"/>
          <w:kern w:val="0"/>
          <w:szCs w:val="32"/>
          <w:lang w:val="zh-CN"/>
        </w:rPr>
        <w:t>坚持生态优先、持续发展</w:t>
      </w:r>
      <w:bookmarkEnd w:id="41"/>
      <w:bookmarkEnd w:id="42"/>
      <w:bookmarkEnd w:id="43"/>
      <w:bookmarkEnd w:id="44"/>
      <w:r>
        <w:rPr>
          <w:rFonts w:hint="eastAsia"/>
          <w:b/>
          <w:bCs/>
          <w:color w:val="000000"/>
          <w:kern w:val="0"/>
          <w:szCs w:val="32"/>
          <w:lang w:val="zh-CN"/>
        </w:rPr>
        <w:t>。</w:t>
      </w:r>
      <w:r>
        <w:rPr>
          <w:rFonts w:hint="eastAsia"/>
          <w:color w:val="000000"/>
          <w:kern w:val="0"/>
          <w:szCs w:val="32"/>
          <w:lang w:val="zh-CN"/>
        </w:rPr>
        <w:t>坚持发展与保护并举，加强渔业资源和渔业水域生态环境保护，大力发展健康养殖、生态化养殖，科学开展增殖渔业，严格控制捕捞强度，减轻近海捕捞压力。推行资源节约、环境友好、低碳发展、人鱼和谐的生态渔业，提高渔业可持续健康发展能力。</w:t>
      </w:r>
      <w:bookmarkStart w:id="45" w:name="_Toc69812264"/>
      <w:bookmarkStart w:id="46" w:name="_Toc58667304"/>
      <w:bookmarkStart w:id="47" w:name="_Toc73632430"/>
      <w:bookmarkStart w:id="48" w:name="_Toc72323612"/>
    </w:p>
    <w:p>
      <w:pPr>
        <w:widowControl w:val="0"/>
        <w:autoSpaceDE w:val="0"/>
        <w:autoSpaceDN w:val="0"/>
        <w:adjustRightInd w:val="0"/>
        <w:snapToGrid w:val="0"/>
        <w:ind w:firstLine="643"/>
        <w:rPr>
          <w:b/>
          <w:bCs/>
          <w:color w:val="000000"/>
          <w:kern w:val="0"/>
          <w:szCs w:val="32"/>
          <w:lang w:val="zh-CN"/>
        </w:rPr>
      </w:pPr>
      <w:r>
        <w:rPr>
          <w:rFonts w:hint="eastAsia"/>
          <w:b/>
          <w:bCs/>
          <w:color w:val="000000"/>
          <w:kern w:val="0"/>
          <w:szCs w:val="32"/>
          <w:lang w:val="zh-CN"/>
        </w:rPr>
        <w:t>坚持依法治渔、综合治理</w:t>
      </w:r>
      <w:bookmarkEnd w:id="45"/>
      <w:bookmarkEnd w:id="46"/>
      <w:bookmarkEnd w:id="47"/>
      <w:bookmarkEnd w:id="48"/>
      <w:r>
        <w:rPr>
          <w:rFonts w:hint="eastAsia"/>
          <w:b/>
          <w:bCs/>
          <w:color w:val="000000"/>
          <w:kern w:val="0"/>
          <w:szCs w:val="32"/>
          <w:lang w:val="zh-CN"/>
        </w:rPr>
        <w:t>。</w:t>
      </w:r>
      <w:r>
        <w:rPr>
          <w:rFonts w:hint="eastAsia"/>
          <w:color w:val="000000"/>
          <w:kern w:val="0"/>
          <w:szCs w:val="32"/>
          <w:lang w:val="zh-CN"/>
        </w:rPr>
        <w:t>强化法治观念，不断健全与完善渔业生产安全、初级水产品质量安全和渔业生态环境监测管理体系；加强执法装备、队伍以及能力建设，严格渔业执法，建立现代渔业综合治理体系，提高渔业依法管理能力和公共服务水平，充分保障渔业绿色发展。</w:t>
      </w:r>
    </w:p>
    <w:p>
      <w:pPr>
        <w:widowControl w:val="0"/>
        <w:autoSpaceDE w:val="0"/>
        <w:autoSpaceDN w:val="0"/>
        <w:adjustRightInd w:val="0"/>
        <w:snapToGrid w:val="0"/>
        <w:ind w:firstLine="640"/>
        <w:rPr>
          <w:color w:val="000000"/>
          <w:kern w:val="0"/>
          <w:szCs w:val="32"/>
          <w:lang w:val="zh-CN"/>
        </w:rPr>
      </w:pPr>
    </w:p>
    <w:p>
      <w:pPr>
        <w:pStyle w:val="3"/>
        <w:rPr>
          <w:rFonts w:ascii="Times New Roman" w:hAnsi="Times New Roman"/>
          <w:color w:val="000000"/>
        </w:rPr>
      </w:pPr>
      <w:bookmarkStart w:id="49" w:name="_Toc73632432"/>
      <w:bookmarkStart w:id="50" w:name="_Toc58667307"/>
      <w:bookmarkStart w:id="51" w:name="_Toc112791219"/>
      <w:r>
        <w:rPr>
          <w:rFonts w:hint="eastAsia" w:ascii="Times New Roman" w:hAnsi="Times New Roman"/>
          <w:color w:val="000000"/>
        </w:rPr>
        <w:t>三、总体目标</w:t>
      </w:r>
      <w:bookmarkEnd w:id="49"/>
      <w:bookmarkEnd w:id="50"/>
      <w:bookmarkEnd w:id="51"/>
    </w:p>
    <w:p>
      <w:pPr>
        <w:widowControl w:val="0"/>
        <w:autoSpaceDE w:val="0"/>
        <w:autoSpaceDN w:val="0"/>
        <w:adjustRightInd w:val="0"/>
        <w:snapToGrid w:val="0"/>
        <w:ind w:firstLine="640"/>
        <w:rPr>
          <w:color w:val="000000"/>
          <w:kern w:val="0"/>
          <w:szCs w:val="32"/>
          <w:lang w:val="zh-CN"/>
        </w:rPr>
      </w:pPr>
      <w:r>
        <w:rPr>
          <w:rFonts w:hint="eastAsia"/>
          <w:color w:val="000000"/>
          <w:kern w:val="0"/>
          <w:szCs w:val="32"/>
          <w:lang w:val="zh-CN"/>
        </w:rPr>
        <w:t>到</w:t>
      </w:r>
      <w:r>
        <w:rPr>
          <w:color w:val="000000"/>
          <w:kern w:val="0"/>
          <w:szCs w:val="32"/>
          <w:lang w:val="zh-CN"/>
        </w:rPr>
        <w:t>2025</w:t>
      </w:r>
      <w:r>
        <w:rPr>
          <w:rFonts w:hint="eastAsia"/>
          <w:color w:val="000000"/>
          <w:kern w:val="0"/>
          <w:szCs w:val="32"/>
          <w:lang w:val="zh-CN"/>
        </w:rPr>
        <w:t>年，渔业质量效益和竞争力明显增强，水产品供给能力稳步提升，产业结构不断优化，产业链条持续延伸，水产养殖业绿色发展取得积极成效，渔业基础设施和装备条件明显改善，</w:t>
      </w:r>
      <w:r>
        <w:rPr>
          <w:rFonts w:hint="eastAsia"/>
          <w:color w:val="000000"/>
        </w:rPr>
        <w:t>构建现代渔业产业发展新格局，促进产业提质升级和高质量发展。具体目标如下：</w:t>
      </w:r>
    </w:p>
    <w:p>
      <w:pPr>
        <w:ind w:firstLine="643"/>
        <w:rPr>
          <w:color w:val="000000"/>
          <w:kern w:val="0"/>
          <w:lang w:val="zh-CN"/>
        </w:rPr>
      </w:pPr>
      <w:r>
        <w:rPr>
          <w:rFonts w:hint="eastAsia" w:eastAsia="楷体_GB2312"/>
          <w:b/>
          <w:bCs/>
          <w:color w:val="000000"/>
        </w:rPr>
        <w:t>产业发展目标</w:t>
      </w:r>
      <w:r>
        <w:rPr>
          <w:rFonts w:hint="eastAsia" w:eastAsia="楷体_GB2312"/>
          <w:b/>
          <w:bCs/>
          <w:color w:val="000000"/>
          <w:kern w:val="0"/>
          <w:lang w:val="zh-CN"/>
        </w:rPr>
        <w:t>。</w:t>
      </w:r>
      <w:r>
        <w:rPr>
          <w:rFonts w:hint="eastAsia"/>
          <w:color w:val="000000"/>
          <w:kern w:val="0"/>
          <w:lang w:val="zh-CN"/>
        </w:rPr>
        <w:t>渔业经济总产值达到</w:t>
      </w:r>
      <w:r>
        <w:rPr>
          <w:color w:val="000000"/>
          <w:kern w:val="0"/>
          <w:lang w:val="zh-CN"/>
        </w:rPr>
        <w:t>1600</w:t>
      </w:r>
      <w:r>
        <w:rPr>
          <w:rFonts w:hint="eastAsia"/>
          <w:color w:val="000000"/>
          <w:kern w:val="0"/>
          <w:lang w:val="zh-CN"/>
        </w:rPr>
        <w:t>亿元，其中海洋渔业经济总产值达到</w:t>
      </w:r>
      <w:r>
        <w:rPr>
          <w:color w:val="000000"/>
          <w:kern w:val="0"/>
          <w:lang w:val="zh-CN"/>
        </w:rPr>
        <w:t>1000</w:t>
      </w:r>
      <w:r>
        <w:rPr>
          <w:rFonts w:hint="eastAsia"/>
          <w:color w:val="000000"/>
          <w:kern w:val="0"/>
          <w:lang w:val="zh-CN"/>
        </w:rPr>
        <w:t>亿元，淡水渔业经济总产值达到</w:t>
      </w:r>
      <w:r>
        <w:rPr>
          <w:color w:val="000000"/>
          <w:kern w:val="0"/>
          <w:lang w:val="zh-CN"/>
        </w:rPr>
        <w:t>600</w:t>
      </w:r>
      <w:r>
        <w:rPr>
          <w:rFonts w:hint="eastAsia"/>
          <w:color w:val="000000"/>
          <w:kern w:val="0"/>
          <w:lang w:val="zh-CN"/>
        </w:rPr>
        <w:t>亿元，水产品总产量达到</w:t>
      </w:r>
      <w:r>
        <w:rPr>
          <w:color w:val="000000"/>
          <w:kern w:val="0"/>
          <w:lang w:val="zh-CN"/>
        </w:rPr>
        <w:t>380</w:t>
      </w:r>
      <w:r>
        <w:rPr>
          <w:rFonts w:hint="eastAsia"/>
          <w:color w:val="000000"/>
          <w:kern w:val="0"/>
          <w:lang w:val="zh-CN"/>
        </w:rPr>
        <w:t>万吨，水产养殖面积达到</w:t>
      </w:r>
      <w:r>
        <w:rPr>
          <w:color w:val="000000"/>
          <w:kern w:val="0"/>
          <w:lang w:val="zh-CN"/>
        </w:rPr>
        <w:t>300</w:t>
      </w:r>
      <w:r>
        <w:rPr>
          <w:rFonts w:hint="eastAsia"/>
          <w:color w:val="000000"/>
          <w:kern w:val="0"/>
          <w:lang w:val="zh-CN"/>
        </w:rPr>
        <w:t>万亩，海洋捕捞产量控制在</w:t>
      </w:r>
      <w:r>
        <w:rPr>
          <w:color w:val="000000"/>
          <w:kern w:val="0"/>
          <w:lang w:val="zh-CN"/>
        </w:rPr>
        <w:t>4</w:t>
      </w:r>
      <w:r>
        <w:rPr>
          <w:rFonts w:hint="eastAsia"/>
          <w:color w:val="000000"/>
          <w:kern w:val="0"/>
          <w:lang w:val="zh-CN"/>
        </w:rPr>
        <w:t>7.5万吨</w:t>
      </w:r>
      <w:r>
        <w:rPr>
          <w:rFonts w:hint="eastAsia"/>
          <w:color w:val="000000"/>
          <w:kern w:val="0"/>
        </w:rPr>
        <w:t>以内</w:t>
      </w:r>
      <w:r>
        <w:rPr>
          <w:rFonts w:hint="eastAsia"/>
          <w:color w:val="000000"/>
          <w:kern w:val="0"/>
          <w:lang w:val="zh-CN"/>
        </w:rPr>
        <w:t>，渔业产值达到</w:t>
      </w:r>
      <w:r>
        <w:rPr>
          <w:color w:val="000000"/>
          <w:kern w:val="0"/>
          <w:lang w:val="zh-CN"/>
        </w:rPr>
        <w:t>730</w:t>
      </w:r>
      <w:r>
        <w:rPr>
          <w:rFonts w:hint="eastAsia"/>
          <w:color w:val="000000"/>
          <w:kern w:val="0"/>
          <w:lang w:val="zh-CN"/>
        </w:rPr>
        <w:t>亿元，二三产业产值比重超过</w:t>
      </w:r>
      <w:r>
        <w:rPr>
          <w:color w:val="000000"/>
          <w:kern w:val="0"/>
          <w:lang w:val="zh-CN"/>
        </w:rPr>
        <w:t>5</w:t>
      </w:r>
      <w:r>
        <w:rPr>
          <w:rFonts w:hint="eastAsia"/>
          <w:color w:val="000000"/>
          <w:kern w:val="0"/>
          <w:lang w:val="zh-CN"/>
        </w:rPr>
        <w:t>2</w:t>
      </w:r>
      <w:r>
        <w:rPr>
          <w:color w:val="000000"/>
          <w:kern w:val="0"/>
          <w:lang w:val="zh-CN"/>
        </w:rPr>
        <w:t>%</w:t>
      </w:r>
      <w:r>
        <w:rPr>
          <w:rFonts w:hint="eastAsia"/>
          <w:color w:val="000000"/>
          <w:kern w:val="0"/>
          <w:lang w:val="zh-CN"/>
        </w:rPr>
        <w:t>，渔民收入明显提升。重点发展陆基圆池、陆基集装箱、池塘跑道式养鱼水槽等设施渔业，有序发展</w:t>
      </w:r>
      <w:bookmarkStart w:id="52" w:name="_Hlk112510506"/>
      <w:r>
        <w:rPr>
          <w:rFonts w:hint="eastAsia"/>
          <w:color w:val="000000"/>
          <w:kern w:val="0"/>
          <w:lang w:val="zh-CN"/>
        </w:rPr>
        <w:t>重力式深水网箱</w:t>
      </w:r>
      <w:bookmarkEnd w:id="52"/>
      <w:r>
        <w:rPr>
          <w:rFonts w:hint="eastAsia"/>
          <w:color w:val="000000"/>
          <w:kern w:val="0"/>
          <w:lang w:val="zh-CN"/>
        </w:rPr>
        <w:t>养殖，实现现代海洋渔业千亿元产业目标。</w:t>
      </w:r>
    </w:p>
    <w:p>
      <w:pPr>
        <w:ind w:firstLine="643"/>
        <w:rPr>
          <w:color w:val="000000"/>
          <w:kern w:val="0"/>
          <w:szCs w:val="32"/>
          <w:lang w:val="zh-CN"/>
        </w:rPr>
      </w:pPr>
      <w:bookmarkStart w:id="53" w:name="_Toc72323617"/>
      <w:bookmarkStart w:id="54" w:name="_Toc58667310"/>
      <w:bookmarkStart w:id="55" w:name="_Toc73632435"/>
      <w:r>
        <w:rPr>
          <w:rFonts w:hint="eastAsia"/>
          <w:b/>
          <w:bCs/>
          <w:color w:val="000000"/>
        </w:rPr>
        <w:t>绿色生态</w:t>
      </w:r>
      <w:bookmarkEnd w:id="53"/>
      <w:bookmarkEnd w:id="54"/>
      <w:bookmarkEnd w:id="55"/>
      <w:r>
        <w:rPr>
          <w:rFonts w:hint="eastAsia"/>
          <w:b/>
          <w:bCs/>
          <w:color w:val="000000"/>
        </w:rPr>
        <w:t>发展目标</w:t>
      </w:r>
      <w:r>
        <w:rPr>
          <w:rFonts w:hint="eastAsia"/>
          <w:b/>
          <w:bCs/>
          <w:color w:val="000000"/>
          <w:kern w:val="0"/>
          <w:szCs w:val="32"/>
          <w:lang w:val="zh-CN"/>
        </w:rPr>
        <w:t>。</w:t>
      </w:r>
      <w:r>
        <w:rPr>
          <w:rFonts w:hint="eastAsia"/>
          <w:color w:val="000000"/>
          <w:kern w:val="0"/>
          <w:szCs w:val="32"/>
          <w:lang w:val="zh-CN"/>
        </w:rPr>
        <w:t>优化</w:t>
      </w:r>
      <w:bookmarkStart w:id="56" w:name="_Hlk54773906"/>
      <w:r>
        <w:rPr>
          <w:rFonts w:hint="eastAsia"/>
          <w:color w:val="000000"/>
          <w:kern w:val="0"/>
          <w:szCs w:val="32"/>
          <w:lang w:val="zh-CN"/>
        </w:rPr>
        <w:t>绿色发展</w:t>
      </w:r>
      <w:bookmarkEnd w:id="56"/>
      <w:r>
        <w:rPr>
          <w:rFonts w:hint="eastAsia"/>
          <w:color w:val="000000"/>
          <w:kern w:val="0"/>
          <w:szCs w:val="32"/>
          <w:lang w:val="zh-CN"/>
        </w:rPr>
        <w:t>空间布局，推行绿色低碳生产方式，建立水产养殖种质资源保护利用体系，大力推进水产养殖尾水处理设施建设，基本实现养殖主产区尾水达标排放，产地水产品兽药监测合格率达</w:t>
      </w:r>
      <w:r>
        <w:rPr>
          <w:color w:val="000000"/>
          <w:kern w:val="0"/>
          <w:szCs w:val="32"/>
          <w:lang w:val="zh-CN"/>
        </w:rPr>
        <w:t>99%</w:t>
      </w:r>
      <w:r>
        <w:rPr>
          <w:rFonts w:hint="eastAsia"/>
          <w:color w:val="000000"/>
          <w:kern w:val="0"/>
          <w:szCs w:val="32"/>
          <w:lang w:val="zh-CN"/>
        </w:rPr>
        <w:t>以上；</w:t>
      </w:r>
      <w:r>
        <w:rPr>
          <w:rFonts w:hint="eastAsia"/>
          <w:color w:val="000000"/>
          <w:kern w:val="0"/>
          <w:szCs w:val="32"/>
        </w:rPr>
        <w:t>创建</w:t>
      </w:r>
      <w:r>
        <w:rPr>
          <w:rFonts w:hint="eastAsia"/>
          <w:color w:val="000000"/>
          <w:kern w:val="0"/>
          <w:szCs w:val="32"/>
          <w:lang w:val="zh-CN"/>
        </w:rPr>
        <w:t>国家级水产健康养殖和生态养殖示范区</w:t>
      </w:r>
      <w:r>
        <w:rPr>
          <w:color w:val="000000"/>
          <w:kern w:val="0"/>
          <w:szCs w:val="32"/>
          <w:lang w:val="zh-CN"/>
        </w:rPr>
        <w:t>10</w:t>
      </w:r>
      <w:r>
        <w:rPr>
          <w:rFonts w:hint="eastAsia"/>
          <w:color w:val="000000"/>
          <w:kern w:val="0"/>
          <w:szCs w:val="32"/>
          <w:lang w:val="zh-CN"/>
        </w:rPr>
        <w:t>个以上；打造一批全国水产绿色健康养殖“五大行动”骨干示范基地。</w:t>
      </w:r>
    </w:p>
    <w:p>
      <w:pPr>
        <w:ind w:firstLine="643"/>
        <w:rPr>
          <w:color w:val="000000"/>
          <w:kern w:val="0"/>
          <w:szCs w:val="32"/>
          <w:lang w:val="zh-CN"/>
        </w:rPr>
      </w:pPr>
      <w:r>
        <w:rPr>
          <w:rFonts w:hint="eastAsia" w:eastAsia="楷体_GB2312"/>
          <w:b/>
          <w:bCs/>
          <w:color w:val="000000"/>
        </w:rPr>
        <w:t>重点产业建设目标。</w:t>
      </w:r>
      <w:r>
        <w:rPr>
          <w:rFonts w:hint="eastAsia"/>
          <w:color w:val="000000"/>
          <w:kern w:val="0"/>
          <w:szCs w:val="32"/>
          <w:lang w:val="zh-CN"/>
        </w:rPr>
        <w:t>加快推进牡蛎产业、南珠产业、陆基设施渔业、</w:t>
      </w:r>
      <w:bookmarkStart w:id="57" w:name="_Hlk112510806"/>
      <w:r>
        <w:rPr>
          <w:rFonts w:hint="eastAsia"/>
          <w:color w:val="000000"/>
          <w:kern w:val="0"/>
          <w:szCs w:val="32"/>
          <w:lang w:val="zh-CN"/>
        </w:rPr>
        <w:t>重力式深水网箱</w:t>
      </w:r>
      <w:bookmarkEnd w:id="57"/>
      <w:r>
        <w:rPr>
          <w:rFonts w:hint="eastAsia"/>
          <w:color w:val="000000"/>
          <w:kern w:val="0"/>
          <w:szCs w:val="32"/>
          <w:lang w:val="zh-CN"/>
        </w:rPr>
        <w:t>养殖、大水面生态渔业、稻渔综合种养产业、水产品预制菜产业等重点渔业领域建设，力争到</w:t>
      </w:r>
      <w:r>
        <w:rPr>
          <w:color w:val="000000"/>
          <w:kern w:val="0"/>
          <w:szCs w:val="32"/>
          <w:lang w:val="zh-CN"/>
        </w:rPr>
        <w:t>2025</w:t>
      </w:r>
      <w:r>
        <w:rPr>
          <w:rFonts w:hint="eastAsia"/>
          <w:color w:val="000000"/>
          <w:kern w:val="0"/>
          <w:szCs w:val="32"/>
          <w:lang w:val="zh-CN"/>
        </w:rPr>
        <w:t>年，牡蛎产量达</w:t>
      </w:r>
      <w:r>
        <w:rPr>
          <w:color w:val="000000"/>
          <w:kern w:val="0"/>
          <w:szCs w:val="32"/>
          <w:lang w:val="zh-CN"/>
        </w:rPr>
        <w:t>155</w:t>
      </w:r>
      <w:r>
        <w:rPr>
          <w:rFonts w:hint="eastAsia"/>
          <w:color w:val="000000"/>
          <w:kern w:val="0"/>
          <w:szCs w:val="32"/>
          <w:lang w:val="zh-CN"/>
        </w:rPr>
        <w:t>万吨，陆基圆池达</w:t>
      </w:r>
      <w:r>
        <w:rPr>
          <w:color w:val="000000"/>
          <w:kern w:val="0"/>
          <w:szCs w:val="32"/>
          <w:lang w:val="zh-CN"/>
        </w:rPr>
        <w:t>20000</w:t>
      </w:r>
      <w:r>
        <w:rPr>
          <w:rFonts w:hint="eastAsia"/>
          <w:color w:val="000000"/>
          <w:kern w:val="0"/>
          <w:szCs w:val="32"/>
          <w:lang w:val="zh-CN"/>
        </w:rPr>
        <w:t>个，重力式深水网箱达</w:t>
      </w:r>
      <w:r>
        <w:rPr>
          <w:color w:val="000000"/>
          <w:kern w:val="0"/>
          <w:szCs w:val="32"/>
          <w:lang w:val="zh-CN"/>
        </w:rPr>
        <w:t>2</w:t>
      </w:r>
      <w:r>
        <w:rPr>
          <w:color w:val="000000"/>
          <w:kern w:val="0"/>
          <w:szCs w:val="32"/>
        </w:rPr>
        <w:t>6</w:t>
      </w:r>
      <w:r>
        <w:rPr>
          <w:color w:val="000000"/>
          <w:kern w:val="0"/>
          <w:szCs w:val="32"/>
          <w:lang w:val="zh-CN"/>
        </w:rPr>
        <w:t>00</w:t>
      </w:r>
      <w:r>
        <w:rPr>
          <w:rFonts w:hint="eastAsia"/>
          <w:color w:val="000000"/>
          <w:kern w:val="0"/>
          <w:szCs w:val="32"/>
          <w:lang w:val="zh-CN"/>
        </w:rPr>
        <w:t>个（</w:t>
      </w:r>
      <w:r>
        <w:rPr>
          <w:rFonts w:hint="eastAsia"/>
          <w:color w:val="000000"/>
          <w:kern w:val="0"/>
          <w:szCs w:val="32"/>
        </w:rPr>
        <w:t>标准箱</w:t>
      </w:r>
      <w:r>
        <w:rPr>
          <w:rFonts w:hint="eastAsia"/>
          <w:color w:val="000000"/>
          <w:kern w:val="0"/>
          <w:szCs w:val="32"/>
          <w:lang w:val="zh-CN"/>
        </w:rPr>
        <w:t>），大水面生态渔业产量达</w:t>
      </w:r>
      <w:r>
        <w:rPr>
          <w:color w:val="000000"/>
          <w:kern w:val="0"/>
          <w:szCs w:val="32"/>
          <w:lang w:val="zh-CN"/>
        </w:rPr>
        <w:t>65</w:t>
      </w:r>
      <w:r>
        <w:rPr>
          <w:rFonts w:hint="eastAsia"/>
          <w:color w:val="000000"/>
          <w:kern w:val="0"/>
          <w:szCs w:val="32"/>
          <w:lang w:val="zh-CN"/>
        </w:rPr>
        <w:t>万吨，稻渔综合种养面积稳定在</w:t>
      </w:r>
      <w:r>
        <w:rPr>
          <w:color w:val="000000"/>
          <w:kern w:val="0"/>
          <w:szCs w:val="32"/>
          <w:lang w:val="zh-CN"/>
        </w:rPr>
        <w:t>120</w:t>
      </w:r>
      <w:r>
        <w:rPr>
          <w:rFonts w:hint="eastAsia"/>
          <w:color w:val="000000"/>
          <w:kern w:val="0"/>
          <w:szCs w:val="32"/>
          <w:lang w:val="zh-CN"/>
        </w:rPr>
        <w:t>万亩左右，水产品预制菜产业经济总产值达</w:t>
      </w:r>
      <w:r>
        <w:rPr>
          <w:color w:val="000000"/>
          <w:kern w:val="0"/>
          <w:szCs w:val="32"/>
          <w:lang w:val="zh-CN"/>
        </w:rPr>
        <w:t>100</w:t>
      </w:r>
      <w:r>
        <w:rPr>
          <w:rFonts w:hint="eastAsia"/>
          <w:color w:val="000000"/>
          <w:kern w:val="0"/>
          <w:szCs w:val="32"/>
          <w:lang w:val="zh-CN"/>
        </w:rPr>
        <w:t>亿元以上。</w:t>
      </w:r>
    </w:p>
    <w:p>
      <w:pPr>
        <w:widowControl w:val="0"/>
        <w:autoSpaceDE w:val="0"/>
        <w:autoSpaceDN w:val="0"/>
        <w:adjustRightInd w:val="0"/>
        <w:snapToGrid w:val="0"/>
        <w:ind w:firstLine="640"/>
        <w:rPr>
          <w:color w:val="000000"/>
          <w:kern w:val="0"/>
          <w:szCs w:val="32"/>
          <w:lang w:val="zh-CN"/>
        </w:rPr>
      </w:pPr>
      <w:r>
        <w:rPr>
          <w:rFonts w:hint="eastAsia"/>
          <w:color w:val="000000"/>
          <w:kern w:val="0"/>
          <w:szCs w:val="32"/>
          <w:lang w:val="zh-CN"/>
        </w:rPr>
        <w:t>展望</w:t>
      </w:r>
      <w:r>
        <w:rPr>
          <w:color w:val="000000"/>
          <w:kern w:val="0"/>
          <w:szCs w:val="32"/>
          <w:lang w:val="zh-CN"/>
        </w:rPr>
        <w:t>2035</w:t>
      </w:r>
      <w:r>
        <w:rPr>
          <w:rFonts w:hint="eastAsia"/>
          <w:color w:val="000000"/>
          <w:kern w:val="0"/>
          <w:szCs w:val="32"/>
          <w:lang w:val="zh-CN"/>
        </w:rPr>
        <w:t>年，水产品供给保障更加有力，养殖、捕捞、加工、增殖、休闲五大产业实现绿色发展、规范发展，推动一二三产业协调发展、融合发展，渔业设施升级，渔村建设完善，渔民素质提升，基本实现渔业现代化，为全国渔业发展提供更多广西智慧、广西样板。</w:t>
      </w:r>
    </w:p>
    <w:p>
      <w:pPr>
        <w:widowControl w:val="0"/>
        <w:autoSpaceDE w:val="0"/>
        <w:autoSpaceDN w:val="0"/>
        <w:adjustRightInd w:val="0"/>
        <w:snapToGrid w:val="0"/>
        <w:ind w:firstLine="560"/>
        <w:rPr>
          <w:rFonts w:eastAsia="黑体"/>
          <w:bCs/>
          <w:color w:val="000000"/>
          <w:kern w:val="0"/>
          <w:sz w:val="28"/>
          <w:szCs w:val="28"/>
          <w:lang w:val="zh-CN"/>
        </w:rPr>
      </w:pPr>
    </w:p>
    <w:tbl>
      <w:tblPr>
        <w:tblStyle w:val="22"/>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536"/>
        <w:gridCol w:w="1418"/>
        <w:gridCol w:w="119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129" w:type="dxa"/>
            <w:gridSpan w:val="5"/>
            <w:vAlign w:val="center"/>
          </w:tcPr>
          <w:p>
            <w:pPr>
              <w:spacing w:line="400" w:lineRule="exact"/>
              <w:ind w:firstLine="0" w:firstLineChars="0"/>
              <w:jc w:val="center"/>
              <w:rPr>
                <w:rFonts w:eastAsia="黑体"/>
                <w:bCs/>
                <w:color w:val="000000"/>
                <w:kern w:val="0"/>
                <w:sz w:val="28"/>
                <w:szCs w:val="28"/>
                <w:lang w:val="zh-CN"/>
              </w:rPr>
            </w:pPr>
            <w:r>
              <w:rPr>
                <w:rFonts w:hint="eastAsia" w:eastAsia="黑体"/>
                <w:color w:val="000000"/>
                <w:kern w:val="0"/>
                <w:sz w:val="28"/>
                <w:szCs w:val="28"/>
                <w:lang w:val="zh-CN"/>
              </w:rPr>
              <w:t>专栏</w:t>
            </w:r>
            <w:r>
              <w:rPr>
                <w:rFonts w:eastAsia="黑体"/>
                <w:color w:val="000000"/>
                <w:kern w:val="0"/>
                <w:sz w:val="28"/>
                <w:szCs w:val="28"/>
                <w:lang w:val="zh-CN"/>
              </w:rPr>
              <w:t xml:space="preserve">1 </w:t>
            </w:r>
            <w:r>
              <w:rPr>
                <w:rFonts w:hint="eastAsia" w:eastAsia="黑体"/>
                <w:color w:val="000000"/>
                <w:kern w:val="0"/>
                <w:sz w:val="28"/>
                <w:szCs w:val="28"/>
                <w:lang w:val="zh-CN"/>
              </w:rPr>
              <w:t>广西“</w:t>
            </w:r>
            <w:r>
              <w:rPr>
                <w:rFonts w:eastAsia="黑体"/>
                <w:color w:val="000000"/>
                <w:kern w:val="0"/>
                <w:sz w:val="28"/>
                <w:szCs w:val="28"/>
                <w:lang w:val="zh-CN"/>
              </w:rPr>
              <w:t>十四五</w:t>
            </w:r>
            <w:r>
              <w:rPr>
                <w:rFonts w:hint="eastAsia" w:eastAsia="黑体"/>
                <w:color w:val="000000"/>
                <w:kern w:val="0"/>
                <w:sz w:val="28"/>
                <w:szCs w:val="28"/>
                <w:lang w:val="zh-CN"/>
              </w:rPr>
              <w:t>”渔业高质量发展</w:t>
            </w:r>
            <w:r>
              <w:rPr>
                <w:rFonts w:eastAsia="黑体"/>
                <w:color w:val="000000"/>
                <w:kern w:val="0"/>
                <w:sz w:val="28"/>
                <w:szCs w:val="28"/>
                <w:lang w:val="zh-CN"/>
              </w:rPr>
              <w:t>主要目标表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rFonts w:eastAsia="黑体"/>
                <w:bCs/>
                <w:color w:val="000000"/>
                <w:kern w:val="0"/>
                <w:sz w:val="24"/>
                <w:szCs w:val="24"/>
              </w:rPr>
            </w:pPr>
            <w:r>
              <w:rPr>
                <w:rFonts w:hint="eastAsia" w:eastAsia="黑体"/>
                <w:color w:val="000000"/>
                <w:kern w:val="0"/>
                <w:sz w:val="24"/>
                <w:szCs w:val="24"/>
              </w:rPr>
              <w:t>序号</w:t>
            </w:r>
          </w:p>
        </w:tc>
        <w:tc>
          <w:tcPr>
            <w:tcW w:w="4536" w:type="dxa"/>
            <w:shd w:val="clear" w:color="auto" w:fill="auto"/>
            <w:vAlign w:val="center"/>
          </w:tcPr>
          <w:p>
            <w:pPr>
              <w:spacing w:line="400" w:lineRule="exact"/>
              <w:ind w:firstLine="0" w:firstLineChars="0"/>
              <w:jc w:val="center"/>
              <w:rPr>
                <w:rFonts w:eastAsia="黑体"/>
                <w:bCs/>
                <w:color w:val="000000"/>
                <w:kern w:val="0"/>
                <w:sz w:val="24"/>
                <w:szCs w:val="24"/>
              </w:rPr>
            </w:pPr>
            <w:r>
              <w:rPr>
                <w:rFonts w:hint="eastAsia" w:eastAsia="黑体"/>
                <w:color w:val="000000"/>
                <w:kern w:val="0"/>
                <w:sz w:val="24"/>
                <w:szCs w:val="24"/>
              </w:rPr>
              <w:t>主</w:t>
            </w:r>
            <w:r>
              <w:rPr>
                <w:rFonts w:eastAsia="黑体"/>
                <w:color w:val="000000"/>
                <w:kern w:val="0"/>
                <w:sz w:val="24"/>
                <w:szCs w:val="24"/>
              </w:rPr>
              <w:t xml:space="preserve"> </w:t>
            </w:r>
            <w:r>
              <w:rPr>
                <w:rFonts w:hint="eastAsia" w:eastAsia="黑体"/>
                <w:color w:val="000000"/>
                <w:kern w:val="0"/>
                <w:sz w:val="24"/>
                <w:szCs w:val="24"/>
              </w:rPr>
              <w:t>要</w:t>
            </w:r>
            <w:r>
              <w:rPr>
                <w:rFonts w:eastAsia="黑体"/>
                <w:color w:val="000000"/>
                <w:kern w:val="0"/>
                <w:sz w:val="24"/>
                <w:szCs w:val="24"/>
              </w:rPr>
              <w:t xml:space="preserve"> </w:t>
            </w:r>
            <w:r>
              <w:rPr>
                <w:rFonts w:hint="eastAsia" w:eastAsia="黑体"/>
                <w:color w:val="000000"/>
                <w:kern w:val="0"/>
                <w:sz w:val="24"/>
                <w:szCs w:val="24"/>
              </w:rPr>
              <w:t>指</w:t>
            </w:r>
            <w:r>
              <w:rPr>
                <w:rFonts w:eastAsia="黑体"/>
                <w:color w:val="000000"/>
                <w:kern w:val="0"/>
                <w:sz w:val="24"/>
                <w:szCs w:val="24"/>
              </w:rPr>
              <w:t xml:space="preserve"> </w:t>
            </w:r>
            <w:r>
              <w:rPr>
                <w:rFonts w:hint="eastAsia" w:eastAsia="黑体"/>
                <w:color w:val="000000"/>
                <w:kern w:val="0"/>
                <w:sz w:val="24"/>
                <w:szCs w:val="24"/>
              </w:rPr>
              <w:t>标</w:t>
            </w:r>
          </w:p>
        </w:tc>
        <w:tc>
          <w:tcPr>
            <w:tcW w:w="1418" w:type="dxa"/>
            <w:shd w:val="clear" w:color="auto" w:fill="auto"/>
            <w:vAlign w:val="center"/>
          </w:tcPr>
          <w:p>
            <w:pPr>
              <w:spacing w:line="400" w:lineRule="exact"/>
              <w:ind w:firstLine="0" w:firstLineChars="0"/>
              <w:jc w:val="center"/>
              <w:rPr>
                <w:rFonts w:eastAsia="黑体"/>
                <w:bCs/>
                <w:color w:val="000000"/>
                <w:kern w:val="0"/>
                <w:sz w:val="24"/>
                <w:szCs w:val="24"/>
              </w:rPr>
            </w:pPr>
            <w:r>
              <w:rPr>
                <w:rFonts w:eastAsia="黑体"/>
                <w:color w:val="000000"/>
                <w:kern w:val="0"/>
                <w:sz w:val="24"/>
                <w:szCs w:val="24"/>
              </w:rPr>
              <w:t>2020</w:t>
            </w:r>
            <w:r>
              <w:rPr>
                <w:rFonts w:hint="eastAsia" w:eastAsia="黑体"/>
                <w:color w:val="000000"/>
                <w:kern w:val="0"/>
                <w:sz w:val="24"/>
                <w:szCs w:val="24"/>
              </w:rPr>
              <w:t>年</w:t>
            </w:r>
          </w:p>
          <w:p>
            <w:pPr>
              <w:spacing w:line="400" w:lineRule="exact"/>
              <w:ind w:firstLine="0" w:firstLineChars="0"/>
              <w:jc w:val="center"/>
              <w:rPr>
                <w:rFonts w:eastAsia="黑体"/>
                <w:bCs/>
                <w:color w:val="000000"/>
                <w:kern w:val="0"/>
                <w:sz w:val="24"/>
                <w:szCs w:val="24"/>
              </w:rPr>
            </w:pPr>
            <w:r>
              <w:rPr>
                <w:rFonts w:hint="eastAsia" w:eastAsia="黑体"/>
                <w:color w:val="000000"/>
                <w:kern w:val="0"/>
                <w:sz w:val="24"/>
                <w:szCs w:val="24"/>
              </w:rPr>
              <w:t>基础值</w:t>
            </w:r>
          </w:p>
        </w:tc>
        <w:tc>
          <w:tcPr>
            <w:tcW w:w="1195" w:type="dxa"/>
            <w:shd w:val="clear" w:color="auto" w:fill="auto"/>
            <w:vAlign w:val="center"/>
          </w:tcPr>
          <w:p>
            <w:pPr>
              <w:spacing w:line="400" w:lineRule="exact"/>
              <w:ind w:firstLine="0" w:firstLineChars="0"/>
              <w:jc w:val="center"/>
              <w:rPr>
                <w:rFonts w:eastAsia="黑体"/>
                <w:bCs/>
                <w:color w:val="000000"/>
                <w:kern w:val="0"/>
                <w:sz w:val="24"/>
                <w:szCs w:val="24"/>
              </w:rPr>
            </w:pPr>
            <w:r>
              <w:rPr>
                <w:rFonts w:eastAsia="黑体"/>
                <w:color w:val="000000"/>
                <w:kern w:val="0"/>
                <w:sz w:val="24"/>
                <w:szCs w:val="24"/>
              </w:rPr>
              <w:t>2025</w:t>
            </w:r>
            <w:r>
              <w:rPr>
                <w:rFonts w:hint="eastAsia" w:eastAsia="黑体"/>
                <w:color w:val="000000"/>
                <w:kern w:val="0"/>
                <w:sz w:val="24"/>
                <w:szCs w:val="24"/>
              </w:rPr>
              <w:t>年</w:t>
            </w:r>
          </w:p>
          <w:p>
            <w:pPr>
              <w:spacing w:line="400" w:lineRule="exact"/>
              <w:ind w:firstLine="0" w:firstLineChars="0"/>
              <w:jc w:val="center"/>
              <w:rPr>
                <w:rFonts w:eastAsia="黑体"/>
                <w:bCs/>
                <w:color w:val="000000"/>
                <w:kern w:val="0"/>
                <w:sz w:val="24"/>
                <w:szCs w:val="24"/>
              </w:rPr>
            </w:pPr>
            <w:r>
              <w:rPr>
                <w:rFonts w:hint="eastAsia" w:eastAsia="黑体"/>
                <w:color w:val="000000"/>
                <w:kern w:val="0"/>
                <w:sz w:val="24"/>
                <w:szCs w:val="24"/>
              </w:rPr>
              <w:t>目标值</w:t>
            </w:r>
          </w:p>
        </w:tc>
        <w:tc>
          <w:tcPr>
            <w:tcW w:w="1276" w:type="dxa"/>
            <w:shd w:val="clear" w:color="auto" w:fill="auto"/>
            <w:noWrap/>
            <w:vAlign w:val="center"/>
          </w:tcPr>
          <w:p>
            <w:pPr>
              <w:spacing w:line="400" w:lineRule="exact"/>
              <w:ind w:firstLine="0" w:firstLineChars="0"/>
              <w:jc w:val="center"/>
              <w:rPr>
                <w:rFonts w:eastAsia="黑体"/>
                <w:bCs/>
                <w:color w:val="000000"/>
                <w:kern w:val="0"/>
                <w:sz w:val="24"/>
                <w:szCs w:val="24"/>
              </w:rPr>
            </w:pPr>
            <w:r>
              <w:rPr>
                <w:rFonts w:hint="eastAsia" w:eastAsia="黑体"/>
                <w:color w:val="000000"/>
                <w:kern w:val="0"/>
                <w:sz w:val="24"/>
                <w:szCs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渔业经济总产值（亿元）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1082.96</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1600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2</w:t>
            </w:r>
          </w:p>
        </w:tc>
        <w:tc>
          <w:tcPr>
            <w:tcW w:w="4536" w:type="dxa"/>
            <w:shd w:val="clear" w:color="auto" w:fill="auto"/>
            <w:vAlign w:val="center"/>
          </w:tcPr>
          <w:p>
            <w:pPr>
              <w:spacing w:line="400" w:lineRule="exact"/>
              <w:ind w:left="480" w:hanging="480" w:hangingChars="200"/>
              <w:jc w:val="left"/>
              <w:rPr>
                <w:bCs/>
                <w:color w:val="000000"/>
                <w:kern w:val="0"/>
                <w:sz w:val="24"/>
                <w:szCs w:val="24"/>
              </w:rPr>
            </w:pPr>
            <w:r>
              <w:rPr>
                <w:rFonts w:hint="eastAsia"/>
                <w:color w:val="000000"/>
                <w:kern w:val="0"/>
                <w:sz w:val="24"/>
                <w:szCs w:val="24"/>
              </w:rPr>
              <w:t>其中：海洋渔业经济总产值（亿元）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660.30</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1000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3</w:t>
            </w:r>
          </w:p>
        </w:tc>
        <w:tc>
          <w:tcPr>
            <w:tcW w:w="4536" w:type="dxa"/>
            <w:shd w:val="clear" w:color="auto" w:fill="auto"/>
            <w:vAlign w:val="center"/>
          </w:tcPr>
          <w:p>
            <w:pPr>
              <w:spacing w:line="400" w:lineRule="exact"/>
              <w:ind w:firstLine="720" w:firstLineChars="300"/>
              <w:jc w:val="left"/>
              <w:rPr>
                <w:bCs/>
                <w:color w:val="000000"/>
                <w:kern w:val="0"/>
                <w:sz w:val="24"/>
                <w:szCs w:val="24"/>
              </w:rPr>
            </w:pPr>
            <w:r>
              <w:rPr>
                <w:rFonts w:hint="eastAsia"/>
                <w:color w:val="000000"/>
                <w:kern w:val="0"/>
                <w:sz w:val="24"/>
                <w:szCs w:val="24"/>
              </w:rPr>
              <w:t>淡水渔业经济总产值（亿元）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422.66</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600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4</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渔业产值（亿元）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533.87</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730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5</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其中：海洋渔业产值（亿元）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219.33</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440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6</w:t>
            </w:r>
          </w:p>
        </w:tc>
        <w:tc>
          <w:tcPr>
            <w:tcW w:w="4536" w:type="dxa"/>
            <w:shd w:val="clear" w:color="auto" w:fill="auto"/>
            <w:vAlign w:val="center"/>
          </w:tcPr>
          <w:p>
            <w:pPr>
              <w:spacing w:line="400" w:lineRule="exact"/>
              <w:ind w:firstLine="679" w:firstLineChars="283"/>
              <w:jc w:val="left"/>
              <w:rPr>
                <w:bCs/>
                <w:color w:val="000000"/>
                <w:kern w:val="0"/>
                <w:sz w:val="24"/>
                <w:szCs w:val="24"/>
              </w:rPr>
            </w:pPr>
            <w:r>
              <w:rPr>
                <w:rFonts w:hint="eastAsia"/>
                <w:color w:val="000000"/>
                <w:kern w:val="0"/>
                <w:sz w:val="24"/>
                <w:szCs w:val="24"/>
              </w:rPr>
              <w:t>淡水渔业产值（亿元）</w:t>
            </w:r>
          </w:p>
        </w:tc>
        <w:tc>
          <w:tcPr>
            <w:tcW w:w="1418" w:type="dxa"/>
            <w:shd w:val="clear" w:color="auto" w:fill="auto"/>
            <w:vAlign w:val="center"/>
          </w:tcPr>
          <w:p>
            <w:pPr>
              <w:spacing w:line="400" w:lineRule="exact"/>
              <w:ind w:firstLine="0" w:firstLineChars="0"/>
              <w:jc w:val="center"/>
              <w:rPr>
                <w:bCs/>
                <w:color w:val="000000"/>
                <w:kern w:val="0"/>
                <w:sz w:val="24"/>
                <w:szCs w:val="24"/>
              </w:rPr>
            </w:pPr>
            <w:bookmarkStart w:id="58" w:name="_Hlk112686488"/>
            <w:r>
              <w:rPr>
                <w:color w:val="000000"/>
                <w:kern w:val="0"/>
                <w:sz w:val="24"/>
                <w:szCs w:val="24"/>
              </w:rPr>
              <w:t>197.37</w:t>
            </w:r>
            <w:bookmarkEnd w:id="58"/>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2</w:t>
            </w:r>
            <w:r>
              <w:rPr>
                <w:rFonts w:hint="eastAsia"/>
                <w:color w:val="000000"/>
                <w:kern w:val="0"/>
                <w:sz w:val="24"/>
                <w:szCs w:val="24"/>
              </w:rPr>
              <w:t>8</w:t>
            </w:r>
            <w:r>
              <w:rPr>
                <w:color w:val="000000"/>
                <w:kern w:val="0"/>
                <w:sz w:val="24"/>
                <w:szCs w:val="24"/>
              </w:rPr>
              <w:t>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7</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渔业二三产业产值比重</w:t>
            </w:r>
            <w:r>
              <w:rPr>
                <w:color w:val="000000"/>
                <w:kern w:val="0"/>
                <w:sz w:val="24"/>
                <w:szCs w:val="24"/>
              </w:rPr>
              <w:t>(%)</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50.70</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5</w:t>
            </w:r>
            <w:r>
              <w:rPr>
                <w:rFonts w:hint="eastAsia"/>
                <w:color w:val="000000"/>
                <w:kern w:val="0"/>
                <w:sz w:val="24"/>
                <w:szCs w:val="24"/>
              </w:rPr>
              <w:t>2</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8</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渔民人均纯收入（元）</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22747</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23</w:t>
            </w:r>
            <w:r>
              <w:rPr>
                <w:rFonts w:hint="eastAsia"/>
                <w:color w:val="000000"/>
                <w:kern w:val="0"/>
                <w:sz w:val="24"/>
                <w:szCs w:val="24"/>
              </w:rPr>
              <w:t>327</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9</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水产品总产量（万吨）</w:t>
            </w:r>
          </w:p>
        </w:tc>
        <w:tc>
          <w:tcPr>
            <w:tcW w:w="1418"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345.80</w:t>
            </w:r>
          </w:p>
        </w:tc>
        <w:tc>
          <w:tcPr>
            <w:tcW w:w="1195"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380</w:t>
            </w:r>
          </w:p>
        </w:tc>
        <w:tc>
          <w:tcPr>
            <w:tcW w:w="1276" w:type="dxa"/>
            <w:shd w:val="clear" w:color="000000" w:fill="FFFFFF"/>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0</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其中：海水养殖产量（万吨）</w:t>
            </w:r>
          </w:p>
        </w:tc>
        <w:tc>
          <w:tcPr>
            <w:tcW w:w="1418"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150.67</w:t>
            </w:r>
          </w:p>
        </w:tc>
        <w:tc>
          <w:tcPr>
            <w:tcW w:w="1195"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172</w:t>
            </w:r>
          </w:p>
        </w:tc>
        <w:tc>
          <w:tcPr>
            <w:tcW w:w="1276" w:type="dxa"/>
            <w:shd w:val="clear" w:color="000000" w:fill="FFFFFF"/>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1</w:t>
            </w:r>
          </w:p>
        </w:tc>
        <w:tc>
          <w:tcPr>
            <w:tcW w:w="4536" w:type="dxa"/>
            <w:shd w:val="clear" w:color="auto" w:fill="auto"/>
            <w:vAlign w:val="center"/>
          </w:tcPr>
          <w:p>
            <w:pPr>
              <w:spacing w:line="400" w:lineRule="exact"/>
              <w:ind w:firstLine="720" w:firstLineChars="300"/>
              <w:jc w:val="left"/>
              <w:rPr>
                <w:bCs/>
                <w:color w:val="000000"/>
                <w:kern w:val="0"/>
                <w:sz w:val="24"/>
                <w:szCs w:val="24"/>
              </w:rPr>
            </w:pPr>
            <w:r>
              <w:rPr>
                <w:rFonts w:hint="eastAsia"/>
                <w:color w:val="000000"/>
                <w:kern w:val="0"/>
                <w:sz w:val="24"/>
                <w:szCs w:val="24"/>
              </w:rPr>
              <w:t>海洋捕捞产量（万吨）</w:t>
            </w:r>
          </w:p>
        </w:tc>
        <w:tc>
          <w:tcPr>
            <w:tcW w:w="1418"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48.41</w:t>
            </w:r>
          </w:p>
        </w:tc>
        <w:tc>
          <w:tcPr>
            <w:tcW w:w="1195" w:type="dxa"/>
            <w:shd w:val="clear" w:color="000000" w:fill="FFFFFF"/>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≤47.5</w:t>
            </w:r>
          </w:p>
        </w:tc>
        <w:tc>
          <w:tcPr>
            <w:tcW w:w="1276" w:type="dxa"/>
            <w:shd w:val="clear" w:color="000000" w:fill="FFFFFF"/>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2</w:t>
            </w:r>
          </w:p>
        </w:tc>
        <w:tc>
          <w:tcPr>
            <w:tcW w:w="4536" w:type="dxa"/>
            <w:shd w:val="clear" w:color="auto" w:fill="auto"/>
            <w:vAlign w:val="center"/>
          </w:tcPr>
          <w:p>
            <w:pPr>
              <w:spacing w:line="400" w:lineRule="exact"/>
              <w:ind w:firstLine="720" w:firstLineChars="300"/>
              <w:jc w:val="left"/>
              <w:rPr>
                <w:bCs/>
                <w:color w:val="000000"/>
                <w:kern w:val="0"/>
                <w:sz w:val="24"/>
                <w:szCs w:val="24"/>
              </w:rPr>
            </w:pPr>
            <w:r>
              <w:rPr>
                <w:rFonts w:hint="eastAsia"/>
                <w:color w:val="000000"/>
                <w:kern w:val="0"/>
                <w:sz w:val="24"/>
                <w:szCs w:val="24"/>
              </w:rPr>
              <w:t>淡水养殖产量（万吨）</w:t>
            </w:r>
          </w:p>
        </w:tc>
        <w:tc>
          <w:tcPr>
            <w:tcW w:w="1418"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136.11</w:t>
            </w:r>
          </w:p>
        </w:tc>
        <w:tc>
          <w:tcPr>
            <w:tcW w:w="1195"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43</w:t>
            </w:r>
          </w:p>
        </w:tc>
        <w:tc>
          <w:tcPr>
            <w:tcW w:w="1276" w:type="dxa"/>
            <w:shd w:val="clear" w:color="000000" w:fill="FFFFFF"/>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3</w:t>
            </w:r>
          </w:p>
        </w:tc>
        <w:tc>
          <w:tcPr>
            <w:tcW w:w="4536" w:type="dxa"/>
            <w:shd w:val="clear" w:color="auto" w:fill="auto"/>
            <w:vAlign w:val="center"/>
          </w:tcPr>
          <w:p>
            <w:pPr>
              <w:spacing w:line="400" w:lineRule="exact"/>
              <w:ind w:firstLine="720" w:firstLineChars="300"/>
              <w:jc w:val="left"/>
              <w:rPr>
                <w:bCs/>
                <w:color w:val="000000"/>
                <w:kern w:val="0"/>
                <w:sz w:val="24"/>
                <w:szCs w:val="24"/>
              </w:rPr>
            </w:pPr>
            <w:r>
              <w:rPr>
                <w:rFonts w:hint="eastAsia"/>
                <w:color w:val="000000"/>
                <w:kern w:val="0"/>
                <w:sz w:val="24"/>
                <w:szCs w:val="24"/>
              </w:rPr>
              <w:t>淡水捕捞产量（万吨）</w:t>
            </w:r>
          </w:p>
        </w:tc>
        <w:tc>
          <w:tcPr>
            <w:tcW w:w="1418" w:type="dxa"/>
            <w:shd w:val="clear" w:color="000000" w:fill="FFFFFF"/>
            <w:vAlign w:val="center"/>
          </w:tcPr>
          <w:p>
            <w:pPr>
              <w:spacing w:line="400" w:lineRule="exact"/>
              <w:ind w:firstLine="0" w:firstLineChars="0"/>
              <w:jc w:val="center"/>
              <w:rPr>
                <w:bCs/>
                <w:color w:val="000000"/>
                <w:kern w:val="0"/>
                <w:sz w:val="24"/>
                <w:szCs w:val="24"/>
              </w:rPr>
            </w:pPr>
            <w:r>
              <w:rPr>
                <w:color w:val="000000"/>
                <w:kern w:val="0"/>
                <w:sz w:val="24"/>
                <w:szCs w:val="24"/>
              </w:rPr>
              <w:t>8.77</w:t>
            </w:r>
          </w:p>
        </w:tc>
        <w:tc>
          <w:tcPr>
            <w:tcW w:w="1195" w:type="dxa"/>
            <w:shd w:val="clear" w:color="000000" w:fill="FFFFFF"/>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w:t>
            </w:r>
            <w:r>
              <w:rPr>
                <w:color w:val="000000"/>
                <w:kern w:val="0"/>
                <w:sz w:val="24"/>
                <w:szCs w:val="24"/>
              </w:rPr>
              <w:t>8.5</w:t>
            </w:r>
            <w:r>
              <w:rPr>
                <w:rFonts w:hint="eastAsia"/>
                <w:color w:val="000000"/>
                <w:kern w:val="0"/>
                <w:sz w:val="24"/>
                <w:szCs w:val="24"/>
              </w:rPr>
              <w:t>0</w:t>
            </w:r>
          </w:p>
        </w:tc>
        <w:tc>
          <w:tcPr>
            <w:tcW w:w="1276" w:type="dxa"/>
            <w:shd w:val="clear" w:color="000000" w:fill="FFFFFF"/>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bCs/>
                <w:color w:val="000000"/>
                <w:kern w:val="0"/>
                <w:sz w:val="24"/>
                <w:szCs w:val="24"/>
              </w:rPr>
            </w:pPr>
            <w:r>
              <w:rPr>
                <w:color w:val="000000"/>
                <w:kern w:val="0"/>
                <w:sz w:val="24"/>
                <w:szCs w:val="24"/>
              </w:rPr>
              <w:t>1</w:t>
            </w:r>
            <w:r>
              <w:rPr>
                <w:rFonts w:hint="eastAsia"/>
                <w:color w:val="000000"/>
                <w:kern w:val="0"/>
                <w:sz w:val="24"/>
                <w:szCs w:val="24"/>
              </w:rPr>
              <w:t>4</w:t>
            </w:r>
          </w:p>
        </w:tc>
        <w:tc>
          <w:tcPr>
            <w:tcW w:w="4536" w:type="dxa"/>
            <w:shd w:val="clear" w:color="auto" w:fill="auto"/>
            <w:vAlign w:val="center"/>
          </w:tcPr>
          <w:p>
            <w:pPr>
              <w:spacing w:line="400" w:lineRule="exact"/>
              <w:ind w:firstLine="0" w:firstLineChars="0"/>
              <w:jc w:val="left"/>
              <w:rPr>
                <w:bCs/>
                <w:color w:val="000000"/>
                <w:kern w:val="0"/>
                <w:sz w:val="24"/>
                <w:szCs w:val="24"/>
              </w:rPr>
            </w:pPr>
            <w:r>
              <w:rPr>
                <w:rFonts w:hint="eastAsia"/>
                <w:color w:val="000000"/>
                <w:kern w:val="0"/>
                <w:sz w:val="24"/>
                <w:szCs w:val="24"/>
              </w:rPr>
              <w:t>水产养殖面积（万亩）</w:t>
            </w:r>
          </w:p>
        </w:tc>
        <w:tc>
          <w:tcPr>
            <w:tcW w:w="1418"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279</w:t>
            </w:r>
          </w:p>
        </w:tc>
        <w:tc>
          <w:tcPr>
            <w:tcW w:w="1195" w:type="dxa"/>
            <w:shd w:val="clear" w:color="auto" w:fill="auto"/>
            <w:vAlign w:val="center"/>
          </w:tcPr>
          <w:p>
            <w:pPr>
              <w:spacing w:line="400" w:lineRule="exact"/>
              <w:ind w:firstLine="0" w:firstLineChars="0"/>
              <w:jc w:val="center"/>
              <w:rPr>
                <w:bCs/>
                <w:color w:val="000000"/>
                <w:kern w:val="0"/>
                <w:sz w:val="24"/>
                <w:szCs w:val="24"/>
              </w:rPr>
            </w:pPr>
            <w:r>
              <w:rPr>
                <w:color w:val="000000"/>
                <w:kern w:val="0"/>
                <w:sz w:val="24"/>
                <w:szCs w:val="24"/>
              </w:rPr>
              <w:t>300</w:t>
            </w:r>
          </w:p>
        </w:tc>
        <w:tc>
          <w:tcPr>
            <w:tcW w:w="1276" w:type="dxa"/>
            <w:shd w:val="clear" w:color="auto" w:fill="auto"/>
            <w:noWrap/>
            <w:vAlign w:val="center"/>
          </w:tcPr>
          <w:p>
            <w:pPr>
              <w:spacing w:line="400" w:lineRule="exact"/>
              <w:ind w:firstLine="0" w:firstLineChars="0"/>
              <w:jc w:val="center"/>
              <w:rPr>
                <w:bCs/>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color w:val="000000"/>
                <w:kern w:val="0"/>
                <w:sz w:val="24"/>
                <w:szCs w:val="24"/>
              </w:rPr>
            </w:pPr>
            <w:r>
              <w:rPr>
                <w:color w:val="000000"/>
                <w:kern w:val="0"/>
                <w:sz w:val="24"/>
                <w:szCs w:val="24"/>
              </w:rPr>
              <w:t>1</w:t>
            </w:r>
            <w:r>
              <w:rPr>
                <w:rFonts w:hint="eastAsia"/>
                <w:color w:val="000000"/>
                <w:kern w:val="0"/>
                <w:sz w:val="24"/>
                <w:szCs w:val="24"/>
              </w:rPr>
              <w:t>5</w:t>
            </w:r>
          </w:p>
        </w:tc>
        <w:tc>
          <w:tcPr>
            <w:tcW w:w="4536" w:type="dxa"/>
            <w:shd w:val="clear" w:color="auto" w:fill="auto"/>
            <w:vAlign w:val="center"/>
          </w:tcPr>
          <w:p>
            <w:pPr>
              <w:spacing w:line="400" w:lineRule="exact"/>
              <w:ind w:firstLine="0" w:firstLineChars="0"/>
              <w:rPr>
                <w:color w:val="000000"/>
                <w:kern w:val="0"/>
                <w:sz w:val="24"/>
                <w:szCs w:val="24"/>
              </w:rPr>
            </w:pPr>
            <w:r>
              <w:rPr>
                <w:rFonts w:hint="eastAsia"/>
                <w:color w:val="000000"/>
                <w:kern w:val="0"/>
                <w:sz w:val="24"/>
                <w:szCs w:val="24"/>
              </w:rPr>
              <w:t>海洋捕捞渔船数（艘）</w:t>
            </w:r>
          </w:p>
        </w:tc>
        <w:tc>
          <w:tcPr>
            <w:tcW w:w="1418" w:type="dxa"/>
            <w:shd w:val="clear" w:color="auto" w:fill="auto"/>
            <w:vAlign w:val="center"/>
          </w:tcPr>
          <w:p>
            <w:pPr>
              <w:spacing w:line="400" w:lineRule="exact"/>
              <w:ind w:firstLine="0" w:firstLineChars="0"/>
              <w:jc w:val="center"/>
              <w:rPr>
                <w:color w:val="000000"/>
                <w:kern w:val="0"/>
                <w:sz w:val="24"/>
                <w:szCs w:val="24"/>
              </w:rPr>
            </w:pPr>
            <w:r>
              <w:rPr>
                <w:color w:val="000000"/>
                <w:kern w:val="0"/>
                <w:sz w:val="24"/>
                <w:szCs w:val="24"/>
              </w:rPr>
              <w:t>7113</w:t>
            </w:r>
          </w:p>
        </w:tc>
        <w:tc>
          <w:tcPr>
            <w:tcW w:w="1195" w:type="dxa"/>
            <w:shd w:val="clear" w:color="auto" w:fill="auto"/>
            <w:vAlign w:val="center"/>
          </w:tcPr>
          <w:p>
            <w:pPr>
              <w:spacing w:line="400" w:lineRule="exact"/>
              <w:ind w:firstLine="0" w:firstLineChars="0"/>
              <w:jc w:val="center"/>
              <w:rPr>
                <w:color w:val="000000"/>
                <w:kern w:val="0"/>
                <w:sz w:val="24"/>
                <w:szCs w:val="24"/>
              </w:rPr>
            </w:pPr>
            <w:r>
              <w:rPr>
                <w:rFonts w:hint="eastAsia"/>
                <w:color w:val="000000"/>
                <w:kern w:val="0"/>
                <w:sz w:val="24"/>
                <w:szCs w:val="24"/>
              </w:rPr>
              <w:t>≤68</w:t>
            </w:r>
            <w:r>
              <w:rPr>
                <w:color w:val="000000"/>
                <w:kern w:val="0"/>
                <w:sz w:val="24"/>
                <w:szCs w:val="24"/>
              </w:rPr>
              <w:t>00</w:t>
            </w:r>
          </w:p>
        </w:tc>
        <w:tc>
          <w:tcPr>
            <w:tcW w:w="1276" w:type="dxa"/>
            <w:shd w:val="clear" w:color="auto" w:fill="auto"/>
            <w:noWrap/>
            <w:vAlign w:val="center"/>
          </w:tcPr>
          <w:p>
            <w:pPr>
              <w:spacing w:line="400" w:lineRule="exact"/>
              <w:ind w:firstLine="0" w:firstLineChars="0"/>
              <w:jc w:val="center"/>
              <w:rPr>
                <w:color w:val="000000"/>
                <w:kern w:val="0"/>
                <w:sz w:val="24"/>
                <w:szCs w:val="24"/>
              </w:rPr>
            </w:pPr>
            <w:r>
              <w:rPr>
                <w:rFonts w:hint="eastAsia"/>
                <w:color w:val="000000"/>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color w:val="000000"/>
                <w:kern w:val="0"/>
                <w:sz w:val="24"/>
                <w:szCs w:val="24"/>
              </w:rPr>
            </w:pPr>
            <w:r>
              <w:rPr>
                <w:rFonts w:hint="eastAsia"/>
                <w:color w:val="000000"/>
                <w:kern w:val="0"/>
                <w:sz w:val="24"/>
                <w:szCs w:val="24"/>
              </w:rPr>
              <w:t>16</w:t>
            </w:r>
          </w:p>
        </w:tc>
        <w:tc>
          <w:tcPr>
            <w:tcW w:w="4536" w:type="dxa"/>
            <w:shd w:val="clear" w:color="auto" w:fill="auto"/>
            <w:vAlign w:val="center"/>
          </w:tcPr>
          <w:p>
            <w:pPr>
              <w:spacing w:line="400" w:lineRule="exact"/>
              <w:ind w:firstLine="0" w:firstLineChars="0"/>
              <w:rPr>
                <w:color w:val="000000"/>
                <w:kern w:val="0"/>
                <w:sz w:val="24"/>
                <w:szCs w:val="24"/>
              </w:rPr>
            </w:pPr>
            <w:r>
              <w:rPr>
                <w:rFonts w:hint="eastAsia"/>
                <w:color w:val="000000"/>
                <w:kern w:val="0"/>
                <w:sz w:val="24"/>
                <w:szCs w:val="24"/>
              </w:rPr>
              <w:t>水产品质量安全抽检合格率（</w:t>
            </w:r>
            <w:r>
              <w:rPr>
                <w:color w:val="000000"/>
                <w:kern w:val="0"/>
                <w:sz w:val="24"/>
                <w:szCs w:val="24"/>
              </w:rPr>
              <w:t>%</w:t>
            </w:r>
            <w:r>
              <w:rPr>
                <w:rFonts w:hint="eastAsia"/>
                <w:color w:val="000000"/>
                <w:kern w:val="0"/>
                <w:sz w:val="24"/>
                <w:szCs w:val="24"/>
              </w:rPr>
              <w:t>）</w:t>
            </w:r>
          </w:p>
        </w:tc>
        <w:tc>
          <w:tcPr>
            <w:tcW w:w="1418" w:type="dxa"/>
            <w:shd w:val="clear" w:color="auto" w:fill="auto"/>
            <w:vAlign w:val="center"/>
          </w:tcPr>
          <w:p>
            <w:pPr>
              <w:spacing w:line="400" w:lineRule="exact"/>
              <w:ind w:firstLine="0" w:firstLineChars="0"/>
              <w:jc w:val="center"/>
              <w:rPr>
                <w:color w:val="000000"/>
                <w:kern w:val="0"/>
                <w:sz w:val="24"/>
                <w:szCs w:val="24"/>
              </w:rPr>
            </w:pPr>
            <w:r>
              <w:rPr>
                <w:color w:val="000000"/>
                <w:kern w:val="0"/>
                <w:sz w:val="24"/>
                <w:szCs w:val="24"/>
              </w:rPr>
              <w:t>99</w:t>
            </w:r>
          </w:p>
        </w:tc>
        <w:tc>
          <w:tcPr>
            <w:tcW w:w="1195" w:type="dxa"/>
            <w:shd w:val="clear" w:color="auto" w:fill="auto"/>
            <w:vAlign w:val="center"/>
          </w:tcPr>
          <w:p>
            <w:pPr>
              <w:spacing w:line="400" w:lineRule="exact"/>
              <w:ind w:firstLine="0" w:firstLineChars="0"/>
              <w:jc w:val="center"/>
              <w:rPr>
                <w:color w:val="000000"/>
                <w:kern w:val="0"/>
                <w:sz w:val="24"/>
                <w:szCs w:val="24"/>
              </w:rPr>
            </w:pPr>
            <w:r>
              <w:rPr>
                <w:rFonts w:hint="eastAsia"/>
                <w:color w:val="000000"/>
                <w:kern w:val="0"/>
                <w:sz w:val="24"/>
                <w:szCs w:val="24"/>
              </w:rPr>
              <w:t>≥</w:t>
            </w:r>
            <w:r>
              <w:rPr>
                <w:color w:val="000000"/>
                <w:kern w:val="0"/>
                <w:sz w:val="24"/>
                <w:szCs w:val="24"/>
              </w:rPr>
              <w:t>99</w:t>
            </w:r>
          </w:p>
        </w:tc>
        <w:tc>
          <w:tcPr>
            <w:tcW w:w="1276" w:type="dxa"/>
            <w:shd w:val="clear" w:color="auto" w:fill="auto"/>
            <w:vAlign w:val="center"/>
          </w:tcPr>
          <w:p>
            <w:pPr>
              <w:spacing w:line="400" w:lineRule="exact"/>
              <w:ind w:firstLine="0" w:firstLineChars="0"/>
              <w:jc w:val="center"/>
              <w:rPr>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color w:val="000000"/>
                <w:spacing w:val="-10"/>
                <w:kern w:val="0"/>
                <w:sz w:val="24"/>
                <w:szCs w:val="24"/>
              </w:rPr>
            </w:pPr>
            <w:r>
              <w:rPr>
                <w:rFonts w:hint="eastAsia"/>
                <w:color w:val="000000"/>
                <w:spacing w:val="-10"/>
                <w:kern w:val="0"/>
                <w:sz w:val="24"/>
                <w:szCs w:val="24"/>
              </w:rPr>
              <w:t>17</w:t>
            </w:r>
          </w:p>
        </w:tc>
        <w:tc>
          <w:tcPr>
            <w:tcW w:w="4536" w:type="dxa"/>
            <w:shd w:val="clear" w:color="auto" w:fill="auto"/>
            <w:vAlign w:val="center"/>
          </w:tcPr>
          <w:p>
            <w:pPr>
              <w:spacing w:line="400" w:lineRule="exact"/>
              <w:ind w:firstLine="0" w:firstLineChars="0"/>
              <w:jc w:val="left"/>
              <w:rPr>
                <w:color w:val="000000"/>
                <w:kern w:val="0"/>
                <w:sz w:val="24"/>
                <w:szCs w:val="24"/>
              </w:rPr>
            </w:pPr>
            <w:r>
              <w:rPr>
                <w:rFonts w:hint="eastAsia"/>
                <w:color w:val="000000"/>
                <w:spacing w:val="-10"/>
                <w:kern w:val="0"/>
                <w:sz w:val="24"/>
                <w:szCs w:val="24"/>
              </w:rPr>
              <w:t>国家产地水产品兽药残留监测合格率</w:t>
            </w:r>
            <w:r>
              <w:rPr>
                <w:rFonts w:hint="eastAsia"/>
                <w:color w:val="000000"/>
                <w:kern w:val="0"/>
                <w:sz w:val="24"/>
                <w:szCs w:val="24"/>
              </w:rPr>
              <w:t>（</w:t>
            </w:r>
            <w:r>
              <w:rPr>
                <w:color w:val="000000"/>
                <w:kern w:val="0"/>
                <w:sz w:val="24"/>
                <w:szCs w:val="24"/>
              </w:rPr>
              <w:t>%</w:t>
            </w:r>
            <w:r>
              <w:rPr>
                <w:rFonts w:hint="eastAsia"/>
                <w:color w:val="000000"/>
                <w:kern w:val="0"/>
                <w:sz w:val="24"/>
                <w:szCs w:val="24"/>
              </w:rPr>
              <w:t>）</w:t>
            </w:r>
          </w:p>
        </w:tc>
        <w:tc>
          <w:tcPr>
            <w:tcW w:w="1418" w:type="dxa"/>
            <w:shd w:val="clear" w:color="auto" w:fill="auto"/>
            <w:vAlign w:val="center"/>
          </w:tcPr>
          <w:p>
            <w:pPr>
              <w:spacing w:line="400" w:lineRule="exact"/>
              <w:ind w:firstLine="0" w:firstLineChars="0"/>
              <w:jc w:val="center"/>
              <w:rPr>
                <w:color w:val="000000"/>
                <w:kern w:val="0"/>
                <w:sz w:val="24"/>
                <w:szCs w:val="24"/>
              </w:rPr>
            </w:pPr>
            <w:r>
              <w:rPr>
                <w:color w:val="000000"/>
                <w:kern w:val="0"/>
                <w:sz w:val="24"/>
                <w:szCs w:val="24"/>
              </w:rPr>
              <w:t>99</w:t>
            </w:r>
          </w:p>
        </w:tc>
        <w:tc>
          <w:tcPr>
            <w:tcW w:w="1195" w:type="dxa"/>
            <w:shd w:val="clear" w:color="auto" w:fill="auto"/>
            <w:vAlign w:val="center"/>
          </w:tcPr>
          <w:p>
            <w:pPr>
              <w:spacing w:line="400" w:lineRule="exact"/>
              <w:ind w:firstLine="0" w:firstLineChars="0"/>
              <w:jc w:val="center"/>
              <w:rPr>
                <w:color w:val="000000"/>
                <w:spacing w:val="-8"/>
                <w:kern w:val="0"/>
                <w:sz w:val="24"/>
                <w:szCs w:val="24"/>
              </w:rPr>
            </w:pPr>
            <w:r>
              <w:rPr>
                <w:rFonts w:hint="eastAsia"/>
                <w:color w:val="000000"/>
                <w:kern w:val="0"/>
                <w:sz w:val="24"/>
                <w:szCs w:val="24"/>
              </w:rPr>
              <w:t>≥</w:t>
            </w:r>
            <w:r>
              <w:rPr>
                <w:color w:val="000000"/>
                <w:kern w:val="0"/>
                <w:sz w:val="24"/>
                <w:szCs w:val="24"/>
              </w:rPr>
              <w:t>99</w:t>
            </w:r>
          </w:p>
        </w:tc>
        <w:tc>
          <w:tcPr>
            <w:tcW w:w="1276" w:type="dxa"/>
            <w:shd w:val="clear" w:color="auto" w:fill="auto"/>
            <w:vAlign w:val="center"/>
          </w:tcPr>
          <w:p>
            <w:pPr>
              <w:spacing w:line="400" w:lineRule="exact"/>
              <w:ind w:firstLine="0" w:firstLineChars="0"/>
              <w:jc w:val="center"/>
              <w:rPr>
                <w:color w:val="000000"/>
                <w:kern w:val="0"/>
                <w:sz w:val="24"/>
                <w:szCs w:val="24"/>
              </w:rPr>
            </w:pPr>
            <w:r>
              <w:rPr>
                <w:rFonts w:hint="eastAsia"/>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4" w:type="dxa"/>
            <w:vAlign w:val="center"/>
          </w:tcPr>
          <w:p>
            <w:pPr>
              <w:spacing w:line="400" w:lineRule="exact"/>
              <w:ind w:firstLine="0" w:firstLineChars="0"/>
              <w:jc w:val="center"/>
              <w:rPr>
                <w:color w:val="000000"/>
                <w:kern w:val="0"/>
                <w:sz w:val="24"/>
                <w:szCs w:val="24"/>
              </w:rPr>
            </w:pPr>
            <w:r>
              <w:rPr>
                <w:rFonts w:hint="eastAsia"/>
                <w:color w:val="000000"/>
                <w:kern w:val="0"/>
                <w:sz w:val="24"/>
                <w:szCs w:val="24"/>
              </w:rPr>
              <w:t>18</w:t>
            </w:r>
          </w:p>
        </w:tc>
        <w:tc>
          <w:tcPr>
            <w:tcW w:w="4536" w:type="dxa"/>
            <w:shd w:val="clear" w:color="auto" w:fill="auto"/>
            <w:vAlign w:val="center"/>
          </w:tcPr>
          <w:p>
            <w:pPr>
              <w:spacing w:line="400" w:lineRule="exact"/>
              <w:ind w:firstLine="0" w:firstLineChars="0"/>
              <w:rPr>
                <w:color w:val="000000"/>
                <w:kern w:val="0"/>
                <w:sz w:val="24"/>
                <w:szCs w:val="24"/>
              </w:rPr>
            </w:pPr>
            <w:r>
              <w:rPr>
                <w:rFonts w:hint="eastAsia"/>
                <w:color w:val="000000"/>
                <w:kern w:val="0"/>
                <w:sz w:val="24"/>
                <w:szCs w:val="24"/>
              </w:rPr>
              <w:t>国家级水产健康养殖和生态养殖示范区（个）</w:t>
            </w:r>
          </w:p>
        </w:tc>
        <w:tc>
          <w:tcPr>
            <w:tcW w:w="1418" w:type="dxa"/>
            <w:shd w:val="clear" w:color="auto" w:fill="auto"/>
            <w:vAlign w:val="center"/>
          </w:tcPr>
          <w:p>
            <w:pPr>
              <w:spacing w:line="400" w:lineRule="exact"/>
              <w:ind w:firstLine="0" w:firstLineChars="0"/>
              <w:jc w:val="center"/>
              <w:rPr>
                <w:color w:val="000000"/>
                <w:kern w:val="0"/>
                <w:sz w:val="24"/>
                <w:szCs w:val="24"/>
              </w:rPr>
            </w:pPr>
            <w:r>
              <w:rPr>
                <w:color w:val="000000"/>
                <w:kern w:val="0"/>
                <w:sz w:val="24"/>
                <w:szCs w:val="24"/>
              </w:rPr>
              <w:t>2</w:t>
            </w:r>
          </w:p>
        </w:tc>
        <w:tc>
          <w:tcPr>
            <w:tcW w:w="1195" w:type="dxa"/>
            <w:shd w:val="clear" w:color="auto" w:fill="auto"/>
            <w:vAlign w:val="center"/>
          </w:tcPr>
          <w:p>
            <w:pPr>
              <w:spacing w:line="400" w:lineRule="exact"/>
              <w:ind w:firstLine="0" w:firstLineChars="0"/>
              <w:jc w:val="center"/>
              <w:rPr>
                <w:color w:val="000000"/>
                <w:spacing w:val="-8"/>
                <w:kern w:val="0"/>
                <w:sz w:val="24"/>
                <w:szCs w:val="24"/>
              </w:rPr>
            </w:pPr>
            <w:r>
              <w:rPr>
                <w:color w:val="000000"/>
                <w:spacing w:val="-8"/>
                <w:kern w:val="0"/>
                <w:sz w:val="24"/>
                <w:szCs w:val="24"/>
              </w:rPr>
              <w:t>10</w:t>
            </w:r>
          </w:p>
        </w:tc>
        <w:tc>
          <w:tcPr>
            <w:tcW w:w="1276" w:type="dxa"/>
            <w:shd w:val="clear" w:color="auto" w:fill="auto"/>
            <w:vAlign w:val="center"/>
          </w:tcPr>
          <w:p>
            <w:pPr>
              <w:spacing w:line="400" w:lineRule="exact"/>
              <w:ind w:firstLine="0" w:firstLineChars="0"/>
              <w:jc w:val="center"/>
              <w:rPr>
                <w:color w:val="000000"/>
                <w:kern w:val="0"/>
                <w:sz w:val="24"/>
                <w:szCs w:val="24"/>
              </w:rPr>
            </w:pPr>
            <w:r>
              <w:rPr>
                <w:rFonts w:hint="eastAsia"/>
                <w:color w:val="000000"/>
                <w:kern w:val="0"/>
                <w:sz w:val="24"/>
                <w:szCs w:val="24"/>
              </w:rPr>
              <w:t>预期性</w:t>
            </w:r>
          </w:p>
        </w:tc>
      </w:tr>
    </w:tbl>
    <w:p>
      <w:pPr>
        <w:widowControl w:val="0"/>
        <w:autoSpaceDE w:val="0"/>
        <w:autoSpaceDN w:val="0"/>
        <w:adjustRightInd w:val="0"/>
        <w:snapToGrid w:val="0"/>
        <w:ind w:firstLine="560"/>
        <w:jc w:val="center"/>
        <w:rPr>
          <w:rFonts w:eastAsia="黑体"/>
          <w:bCs/>
          <w:color w:val="000000"/>
          <w:kern w:val="0"/>
          <w:sz w:val="28"/>
          <w:szCs w:val="28"/>
          <w:lang w:val="zh-CN"/>
        </w:rPr>
      </w:pPr>
    </w:p>
    <w:p>
      <w:pPr>
        <w:widowControl w:val="0"/>
        <w:spacing w:line="240" w:lineRule="auto"/>
        <w:ind w:firstLine="640"/>
        <w:jc w:val="left"/>
        <w:rPr>
          <w:color w:val="000000"/>
        </w:rPr>
        <w:sectPr>
          <w:footerReference r:id="rId14" w:type="default"/>
          <w:footerReference r:id="rId15" w:type="even"/>
          <w:pgSz w:w="11906" w:h="16838"/>
          <w:pgMar w:top="1440" w:right="1287" w:bottom="1440" w:left="1588" w:header="851" w:footer="992" w:gutter="0"/>
          <w:cols w:space="425" w:num="1"/>
          <w:docGrid w:type="lines" w:linePitch="435" w:charSpace="0"/>
        </w:sectPr>
      </w:pPr>
    </w:p>
    <w:p>
      <w:pPr>
        <w:widowControl w:val="0"/>
        <w:spacing w:line="240" w:lineRule="auto"/>
        <w:ind w:firstLine="640"/>
        <w:jc w:val="left"/>
        <w:rPr>
          <w:color w:val="000000"/>
        </w:rPr>
      </w:pPr>
    </w:p>
    <w:p>
      <w:pPr>
        <w:pStyle w:val="2"/>
        <w:spacing w:line="560" w:lineRule="exact"/>
        <w:rPr>
          <w:rFonts w:eastAsia="方正小标宋简体"/>
          <w:color w:val="000000"/>
        </w:rPr>
      </w:pPr>
      <w:bookmarkStart w:id="59" w:name="_Toc112791220"/>
      <w:r>
        <w:rPr>
          <w:rFonts w:hint="eastAsia" w:eastAsia="方正小标宋简体"/>
          <w:color w:val="000000"/>
        </w:rPr>
        <w:t>第三章</w:t>
      </w:r>
      <w:r>
        <w:rPr>
          <w:rFonts w:eastAsia="方正小标宋简体"/>
          <w:color w:val="000000"/>
        </w:rPr>
        <w:t xml:space="preserve">  </w:t>
      </w:r>
      <w:r>
        <w:rPr>
          <w:rFonts w:hint="eastAsia" w:eastAsia="方正小标宋简体"/>
          <w:color w:val="000000"/>
        </w:rPr>
        <w:t>区域布局</w:t>
      </w:r>
      <w:bookmarkEnd w:id="22"/>
      <w:bookmarkEnd w:id="59"/>
    </w:p>
    <w:p>
      <w:pPr>
        <w:spacing w:line="560" w:lineRule="exact"/>
        <w:ind w:firstLine="640"/>
        <w:rPr>
          <w:color w:val="000000"/>
        </w:rPr>
      </w:pPr>
    </w:p>
    <w:p>
      <w:pPr>
        <w:widowControl w:val="0"/>
        <w:ind w:firstLine="640"/>
        <w:rPr>
          <w:color w:val="000000"/>
        </w:rPr>
      </w:pPr>
      <w:r>
        <w:rPr>
          <w:rFonts w:hint="eastAsia"/>
          <w:color w:val="000000"/>
          <w:szCs w:val="32"/>
        </w:rPr>
        <w:t>立足广西渔业资源条件、产业基础、比较优势、资源环境承载能力，构建广西现代渔业空间发展布局</w:t>
      </w:r>
      <w:r>
        <w:rPr>
          <w:rFonts w:hint="eastAsia"/>
          <w:color w:val="000000"/>
        </w:rPr>
        <w:t>。</w:t>
      </w:r>
    </w:p>
    <w:p>
      <w:pPr>
        <w:widowControl w:val="0"/>
        <w:ind w:firstLine="640"/>
        <w:rPr>
          <w:color w:val="000000"/>
          <w:szCs w:val="32"/>
        </w:rPr>
      </w:pPr>
    </w:p>
    <w:p>
      <w:pPr>
        <w:pStyle w:val="3"/>
        <w:rPr>
          <w:rFonts w:ascii="Times New Roman" w:hAnsi="Times New Roman"/>
          <w:color w:val="000000"/>
        </w:rPr>
      </w:pPr>
      <w:bookmarkStart w:id="60" w:name="_Toc112791221"/>
      <w:r>
        <w:rPr>
          <w:rFonts w:hint="eastAsia" w:ascii="Times New Roman" w:hAnsi="Times New Roman"/>
          <w:color w:val="000000"/>
        </w:rPr>
        <w:t>一、完善现代渔业发展布局</w:t>
      </w:r>
      <w:bookmarkEnd w:id="60"/>
    </w:p>
    <w:p>
      <w:pPr>
        <w:ind w:firstLine="640"/>
        <w:rPr>
          <w:color w:val="000000"/>
        </w:rPr>
      </w:pPr>
      <w:r>
        <w:rPr>
          <w:rFonts w:hint="eastAsia"/>
          <w:color w:val="000000"/>
        </w:rPr>
        <w:t>结合现代渔业产业发展要求，构建“一核一带三区”的空间发展布局。</w:t>
      </w:r>
    </w:p>
    <w:p>
      <w:pPr>
        <w:ind w:firstLine="643"/>
        <w:rPr>
          <w:color w:val="000000"/>
        </w:rPr>
      </w:pPr>
      <w:bookmarkStart w:id="61" w:name="_Toc84608494"/>
      <w:bookmarkStart w:id="62" w:name="_Hlk91752519"/>
      <w:r>
        <w:rPr>
          <w:rFonts w:hint="eastAsia" w:eastAsia="楷体_GB2312"/>
          <w:b/>
          <w:bCs/>
          <w:color w:val="000000"/>
        </w:rPr>
        <w:t>海洋渔业高质量发展核</w:t>
      </w:r>
      <w:bookmarkEnd w:id="61"/>
      <w:bookmarkEnd w:id="62"/>
      <w:r>
        <w:rPr>
          <w:rFonts w:hint="eastAsia" w:eastAsia="楷体_GB2312"/>
          <w:b/>
          <w:bCs/>
          <w:color w:val="000000"/>
        </w:rPr>
        <w:t>。</w:t>
      </w:r>
      <w:r>
        <w:rPr>
          <w:rFonts w:hint="eastAsia"/>
          <w:color w:val="000000"/>
        </w:rPr>
        <w:t>范围包括沿海三市，即北海市、钦州市和防城港市，海岸线总长</w:t>
      </w:r>
      <w:r>
        <w:rPr>
          <w:color w:val="000000"/>
        </w:rPr>
        <w:t>1628.59</w:t>
      </w:r>
      <w:r>
        <w:rPr>
          <w:rFonts w:hint="eastAsia"/>
          <w:color w:val="000000"/>
        </w:rPr>
        <w:t>千米，管辖海域面积约</w:t>
      </w:r>
      <w:r>
        <w:rPr>
          <w:color w:val="000000"/>
        </w:rPr>
        <w:t>4.6</w:t>
      </w:r>
      <w:r>
        <w:rPr>
          <w:rFonts w:hint="eastAsia"/>
          <w:color w:val="000000"/>
        </w:rPr>
        <w:t>万平方千米。发展重点是以北部湾沿海的北海市、钦州市和防城港市为海洋渔业发展核心，北海市重点发展卵形鲳</w:t>
      </w:r>
      <w:r>
        <w:rPr>
          <w:rFonts w:hint="eastAsia" w:eastAsia="仿宋"/>
          <w:color w:val="000000"/>
        </w:rPr>
        <w:t>鲹</w:t>
      </w:r>
      <w:r>
        <w:rPr>
          <w:rFonts w:hint="eastAsia"/>
          <w:color w:val="000000"/>
        </w:rPr>
        <w:t>、南美白对虾、方格星虫、牡蛎和南珠等特色水产养殖，积极发展南珠养殖加工贸易及文化传承；</w:t>
      </w:r>
      <w:r>
        <w:rPr>
          <w:rFonts w:hint="eastAsia"/>
          <w:bCs/>
          <w:color w:val="000000"/>
        </w:rPr>
        <w:t>防城港市</w:t>
      </w:r>
      <w:r>
        <w:rPr>
          <w:rFonts w:hint="eastAsia"/>
          <w:color w:val="000000"/>
        </w:rPr>
        <w:t>重点打造牡蛎、卵形鲳</w:t>
      </w:r>
      <w:r>
        <w:rPr>
          <w:rFonts w:hint="eastAsia" w:eastAsia="仿宋"/>
          <w:color w:val="000000"/>
        </w:rPr>
        <w:t>鲹</w:t>
      </w:r>
      <w:r>
        <w:rPr>
          <w:rFonts w:hint="eastAsia"/>
          <w:color w:val="000000"/>
        </w:rPr>
        <w:t>等特色品种，依托渔港优势发展渔货上岸、精深加工、深远海养殖、海洋牧场、休闲渔业、冷链物流、水产品交易、文化旅游等业态；钦州市重点发展牡蛎、南美白对虾、石斑鱼、卵形鲳</w:t>
      </w:r>
      <w:r>
        <w:rPr>
          <w:rFonts w:hint="eastAsia" w:eastAsia="仿宋"/>
          <w:color w:val="000000"/>
        </w:rPr>
        <w:t>鲹</w:t>
      </w:r>
      <w:r>
        <w:rPr>
          <w:rFonts w:hint="eastAsia"/>
          <w:color w:val="000000"/>
        </w:rPr>
        <w:t>、鲈鱼等高品质特色品种养殖，建设渔港经济区，发展深海养殖、加工流通、冷链物流、休闲渔业等业态。</w:t>
      </w:r>
    </w:p>
    <w:p>
      <w:pPr>
        <w:ind w:firstLine="643"/>
        <w:rPr>
          <w:color w:val="000000"/>
        </w:rPr>
      </w:pPr>
      <w:bookmarkStart w:id="63" w:name="_Toc73632441"/>
      <w:bookmarkStart w:id="64" w:name="_Toc84608496"/>
      <w:bookmarkStart w:id="65" w:name="_Toc72323623"/>
      <w:r>
        <w:rPr>
          <w:rFonts w:hint="eastAsia" w:eastAsia="楷体_GB2312"/>
          <w:b/>
          <w:bCs/>
          <w:color w:val="000000"/>
        </w:rPr>
        <w:t>内陆绿色健康养殖带</w:t>
      </w:r>
      <w:bookmarkEnd w:id="63"/>
      <w:bookmarkEnd w:id="64"/>
      <w:bookmarkEnd w:id="65"/>
      <w:r>
        <w:rPr>
          <w:rFonts w:hint="eastAsia" w:eastAsia="楷体_GB2312"/>
          <w:b/>
          <w:bCs/>
          <w:color w:val="000000"/>
        </w:rPr>
        <w:t>。</w:t>
      </w:r>
      <w:r>
        <w:rPr>
          <w:rFonts w:hint="eastAsia"/>
          <w:color w:val="000000"/>
        </w:rPr>
        <w:t>区域包括</w:t>
      </w:r>
      <w:r>
        <w:rPr>
          <w:rFonts w:hint="eastAsia"/>
          <w:color w:val="000000"/>
          <w:spacing w:val="-6"/>
          <w:szCs w:val="32"/>
        </w:rPr>
        <w:t>沿</w:t>
      </w:r>
      <w:bookmarkStart w:id="66" w:name="_Hlk112514415"/>
      <w:r>
        <w:rPr>
          <w:rFonts w:hint="eastAsia"/>
          <w:color w:val="000000"/>
          <w:spacing w:val="-6"/>
          <w:szCs w:val="32"/>
        </w:rPr>
        <w:t>西江水系</w:t>
      </w:r>
      <w:bookmarkEnd w:id="66"/>
      <w:r>
        <w:rPr>
          <w:rFonts w:hint="eastAsia"/>
          <w:color w:val="000000"/>
          <w:spacing w:val="-6"/>
          <w:szCs w:val="32"/>
        </w:rPr>
        <w:t>各市池塘养殖，水域面积</w:t>
      </w:r>
      <w:r>
        <w:rPr>
          <w:color w:val="000000"/>
          <w:spacing w:val="-6"/>
          <w:szCs w:val="32"/>
        </w:rPr>
        <w:t>1000</w:t>
      </w:r>
      <w:r>
        <w:rPr>
          <w:rFonts w:hint="eastAsia"/>
          <w:color w:val="000000"/>
          <w:spacing w:val="-6"/>
          <w:szCs w:val="32"/>
        </w:rPr>
        <w:t>多万亩。</w:t>
      </w:r>
      <w:r>
        <w:rPr>
          <w:rFonts w:hint="eastAsia"/>
          <w:color w:val="000000"/>
        </w:rPr>
        <w:t>发展重点是开展养殖池塘标准化改造，尾水达标治理，底排吸污、曝气增氧、生态沉淀过滤、鱼菜共生等养殖尾水治理项目，建设水质监控和环境调控系统，远程智能控制系统，建立管护机制，合理确定管护主体，压实管护责任。充分发挥市场机制作用，社会各类主体参与管护。开展广西淡水特色品种良种培育、养殖、加工，打造沿西江水系绿色健康养殖产业集群。</w:t>
      </w:r>
    </w:p>
    <w:p>
      <w:pPr>
        <w:ind w:firstLine="643"/>
        <w:rPr>
          <w:color w:val="000000"/>
        </w:rPr>
      </w:pPr>
      <w:bookmarkStart w:id="67" w:name="_Toc84608503"/>
      <w:bookmarkStart w:id="68" w:name="_Toc58667327"/>
      <w:bookmarkStart w:id="69" w:name="_Toc13615"/>
      <w:bookmarkStart w:id="70" w:name="_Toc58667353"/>
      <w:r>
        <w:rPr>
          <w:rFonts w:hint="eastAsia" w:eastAsia="楷体_GB2312"/>
          <w:b/>
          <w:bCs/>
          <w:color w:val="000000"/>
        </w:rPr>
        <w:t>设施渔业发展先行区。</w:t>
      </w:r>
      <w:r>
        <w:rPr>
          <w:rFonts w:hint="eastAsia"/>
          <w:color w:val="000000"/>
        </w:rPr>
        <w:t>范围</w:t>
      </w:r>
      <w:r>
        <w:rPr>
          <w:rFonts w:hint="eastAsia"/>
          <w:color w:val="000000"/>
          <w:szCs w:val="32"/>
        </w:rPr>
        <w:t>包括南宁、柳州、桂林、玉林、贵港、崇左、来宾、河池等具备发展基础的县域。</w:t>
      </w:r>
      <w:r>
        <w:rPr>
          <w:rFonts w:hint="eastAsia"/>
          <w:color w:val="000000"/>
        </w:rPr>
        <w:t>重点支持建设一批集苗种繁育、智能养殖、冷链物流、科普展示、休闲观光等于一体的陆基圆池循环水养殖、池塘工程化循环水（跑道式）养殖和集装箱循环水养殖等陆基设施渔业产业园区。</w:t>
      </w:r>
    </w:p>
    <w:p>
      <w:pPr>
        <w:ind w:firstLine="643"/>
        <w:rPr>
          <w:color w:val="000000"/>
        </w:rPr>
      </w:pPr>
      <w:r>
        <w:rPr>
          <w:rFonts w:hint="eastAsia" w:eastAsia="楷体_GB2312"/>
          <w:b/>
          <w:bCs/>
          <w:color w:val="000000"/>
        </w:rPr>
        <w:t>生态养殖示范区。</w:t>
      </w:r>
      <w:r>
        <w:rPr>
          <w:rFonts w:hint="eastAsia"/>
          <w:color w:val="000000"/>
        </w:rPr>
        <w:t>范围</w:t>
      </w:r>
      <w:r>
        <w:rPr>
          <w:rFonts w:hint="eastAsia"/>
          <w:color w:val="000000"/>
          <w:szCs w:val="32"/>
        </w:rPr>
        <w:t>包括梧州、百色、河池、崇左、来宾、桂林、柳州、贺州、南宁等具有丰富江河水库资源的市县。</w:t>
      </w:r>
      <w:r>
        <w:rPr>
          <w:rFonts w:hint="eastAsia"/>
          <w:color w:val="000000"/>
        </w:rPr>
        <w:t>重点支持建设一批健康养殖示范区、净水增殖示范区和休闲渔业示范区。依法保障大水面生态渔业发展空间，在示范基地建设、管理制度机制、三产融合发展等方面先行先试，科学有序开展增殖渔业，科学合理发展生态养殖，加强生态环境保护和资源养护，强化科技支撑发展，加强综合监督管理。</w:t>
      </w:r>
    </w:p>
    <w:p>
      <w:pPr>
        <w:ind w:firstLine="643"/>
        <w:rPr>
          <w:color w:val="000000"/>
          <w:szCs w:val="32"/>
        </w:rPr>
      </w:pPr>
      <w:r>
        <w:rPr>
          <w:rFonts w:hint="eastAsia" w:eastAsia="楷体_GB2312"/>
          <w:b/>
          <w:bCs/>
          <w:color w:val="000000"/>
        </w:rPr>
        <w:t>稻渔综合种养示范区。</w:t>
      </w:r>
      <w:r>
        <w:rPr>
          <w:rFonts w:hint="eastAsia"/>
          <w:color w:val="000000"/>
        </w:rPr>
        <w:t>范围</w:t>
      </w:r>
      <w:r>
        <w:rPr>
          <w:rFonts w:hint="eastAsia"/>
          <w:color w:val="000000"/>
          <w:szCs w:val="32"/>
        </w:rPr>
        <w:t>包括桂林、柳州、来宾、南宁、钦州、贵港、玉林、梧州、贺州等水稻优势产区。</w:t>
      </w:r>
      <w:r>
        <w:rPr>
          <w:rFonts w:hint="eastAsia"/>
          <w:color w:val="000000"/>
        </w:rPr>
        <w:t>重点发展稻鱼、稻螺、稻虾等生态养殖和反季节养殖，</w:t>
      </w:r>
      <w:r>
        <w:rPr>
          <w:rFonts w:hint="eastAsia"/>
          <w:color w:val="000000"/>
          <w:szCs w:val="32"/>
        </w:rPr>
        <w:t>规范建设田间工程。充分挖掘宜渔稻田功能，以稳粮增收为立业之基，在水稻主产区创建一批模式新颖、稳产高效、标准规范的规模化稻渔综合种养示范基地，筛选一批稻田养殖水产品种（鱼虾、螺）。</w:t>
      </w:r>
    </w:p>
    <w:bookmarkEnd w:id="67"/>
    <w:bookmarkEnd w:id="68"/>
    <w:p>
      <w:pPr>
        <w:pStyle w:val="3"/>
        <w:rPr>
          <w:rFonts w:ascii="Times New Roman" w:hAnsi="Times New Roman"/>
          <w:color w:val="000000"/>
        </w:rPr>
      </w:pPr>
      <w:bookmarkStart w:id="71" w:name="_Toc112791222"/>
      <w:bookmarkStart w:id="72" w:name="_Toc73632448"/>
      <w:r>
        <w:rPr>
          <w:rFonts w:hint="eastAsia" w:ascii="Times New Roman" w:hAnsi="Times New Roman"/>
          <w:color w:val="000000"/>
        </w:rPr>
        <w:t>二、构建水产种业发展布局</w:t>
      </w:r>
      <w:bookmarkEnd w:id="71"/>
    </w:p>
    <w:p>
      <w:pPr>
        <w:ind w:firstLine="643"/>
        <w:rPr>
          <w:color w:val="000000"/>
        </w:rPr>
      </w:pPr>
      <w:bookmarkStart w:id="73" w:name="_Toc15030"/>
      <w:bookmarkStart w:id="74" w:name="_Toc62446554"/>
      <w:bookmarkStart w:id="75" w:name="_Toc62446565"/>
      <w:r>
        <w:rPr>
          <w:rFonts w:hint="eastAsia" w:eastAsia="楷体_GB2312"/>
          <w:b/>
          <w:bCs/>
          <w:color w:val="000000"/>
          <w:szCs w:val="32"/>
        </w:rPr>
        <w:t>水产种质资源保护布局</w:t>
      </w:r>
      <w:bookmarkEnd w:id="73"/>
      <w:bookmarkEnd w:id="74"/>
      <w:r>
        <w:rPr>
          <w:rFonts w:hint="eastAsia" w:eastAsia="楷体_GB2312"/>
          <w:bCs/>
          <w:color w:val="000000"/>
        </w:rPr>
        <w:t>。</w:t>
      </w:r>
      <w:r>
        <w:rPr>
          <w:rFonts w:hint="eastAsia"/>
          <w:color w:val="000000"/>
        </w:rPr>
        <w:t>在北海等地布局建设国家级水产种质资源场</w:t>
      </w:r>
      <w:r>
        <w:rPr>
          <w:color w:val="000000"/>
        </w:rPr>
        <w:t>2</w:t>
      </w:r>
      <w:r>
        <w:rPr>
          <w:rFonts w:hint="eastAsia"/>
          <w:color w:val="000000"/>
        </w:rPr>
        <w:t>个，在南宁布局建设自治区级水产种质资源库</w:t>
      </w:r>
      <w:r>
        <w:rPr>
          <w:color w:val="000000"/>
        </w:rPr>
        <w:t>1</w:t>
      </w:r>
      <w:r>
        <w:rPr>
          <w:rFonts w:hint="eastAsia"/>
          <w:color w:val="000000"/>
        </w:rPr>
        <w:t>个，在沿江、沿海优势养殖区布局建设自治区级水产良种场10个以上。</w:t>
      </w:r>
    </w:p>
    <w:p>
      <w:pPr>
        <w:ind w:firstLine="643"/>
        <w:rPr>
          <w:color w:val="000000"/>
          <w:kern w:val="0"/>
          <w:szCs w:val="32"/>
        </w:rPr>
      </w:pPr>
      <w:bookmarkStart w:id="76" w:name="_Toc62446559"/>
      <w:bookmarkStart w:id="77" w:name="_Toc6368"/>
      <w:r>
        <w:rPr>
          <w:rFonts w:hint="eastAsia" w:eastAsia="楷体_GB2312"/>
          <w:b/>
          <w:bCs/>
          <w:color w:val="000000"/>
        </w:rPr>
        <w:t>种业创新中心布局</w:t>
      </w:r>
      <w:bookmarkEnd w:id="76"/>
      <w:bookmarkEnd w:id="77"/>
      <w:r>
        <w:rPr>
          <w:rFonts w:hint="eastAsia" w:eastAsia="楷体_GB2312"/>
          <w:b/>
          <w:bCs/>
          <w:color w:val="000000"/>
        </w:rPr>
        <w:t>。</w:t>
      </w:r>
      <w:r>
        <w:rPr>
          <w:rFonts w:hint="eastAsia"/>
          <w:color w:val="000000"/>
          <w:kern w:val="0"/>
          <w:szCs w:val="32"/>
        </w:rPr>
        <w:t>推进体制机制集成创新，引导创新资源、技术、人才、资本聚集，以产业需求为导向，优化布局建设水产种业育种创新基地。</w:t>
      </w:r>
      <w:r>
        <w:rPr>
          <w:rFonts w:hint="eastAsia"/>
          <w:bCs/>
          <w:color w:val="000000"/>
          <w:kern w:val="0"/>
          <w:szCs w:val="32"/>
        </w:rPr>
        <w:t>在中国(广西)—东盟现代农业种业示范园、海洋水产种业研发基地布局建设</w:t>
      </w:r>
      <w:r>
        <w:rPr>
          <w:rFonts w:hint="eastAsia"/>
          <w:color w:val="000000"/>
          <w:kern w:val="0"/>
          <w:szCs w:val="32"/>
        </w:rPr>
        <w:t>集育种攻关、科技示范为一体的现代渔业种业创新中心，推动广西水产良种南繁育种基地提档升级，布局建设国家级水产育繁推一体化育种创新基地</w:t>
      </w:r>
      <w:r>
        <w:rPr>
          <w:color w:val="000000"/>
          <w:kern w:val="0"/>
          <w:szCs w:val="32"/>
        </w:rPr>
        <w:t>1</w:t>
      </w:r>
      <w:r>
        <w:rPr>
          <w:rFonts w:hint="eastAsia"/>
          <w:color w:val="000000"/>
          <w:kern w:val="0"/>
          <w:szCs w:val="32"/>
        </w:rPr>
        <w:t>个。</w:t>
      </w:r>
    </w:p>
    <w:p>
      <w:pPr>
        <w:ind w:firstLine="643"/>
        <w:rPr>
          <w:bCs/>
          <w:color w:val="000000"/>
          <w:kern w:val="0"/>
          <w:szCs w:val="32"/>
        </w:rPr>
      </w:pPr>
      <w:bookmarkStart w:id="78" w:name="_Toc4260"/>
      <w:bookmarkStart w:id="79" w:name="_Toc62446563"/>
      <w:r>
        <w:rPr>
          <w:rFonts w:hint="eastAsia" w:eastAsia="楷体_GB2312"/>
          <w:b/>
          <w:bCs/>
          <w:color w:val="000000"/>
        </w:rPr>
        <w:t>种业优势基地布局</w:t>
      </w:r>
      <w:bookmarkEnd w:id="78"/>
      <w:bookmarkEnd w:id="79"/>
      <w:r>
        <w:rPr>
          <w:rFonts w:hint="eastAsia" w:eastAsia="楷体_GB2312"/>
          <w:b/>
          <w:bCs/>
          <w:color w:val="000000"/>
        </w:rPr>
        <w:t>。</w:t>
      </w:r>
      <w:bookmarkEnd w:id="75"/>
      <w:r>
        <w:rPr>
          <w:rFonts w:hint="eastAsia"/>
          <w:bCs/>
          <w:color w:val="000000"/>
          <w:kern w:val="0"/>
          <w:szCs w:val="32"/>
        </w:rPr>
        <w:t>重点围绕罗非鱼、南美白对虾、香港牡蛎、大宗淡水鱼类等主导品种和禾花鱼、拟穴青蟹、石斑鱼等名特优新品种，打造和升级具有区域特色的桂中南、桂南罗非鱼苗种产业带、桂南沿海南美白对虾和贝类苗种产业带、西江流域特色水产苗种产业带。建设鲈鱼、卵形鲳</w:t>
      </w:r>
      <w:r>
        <w:rPr>
          <w:rFonts w:hint="eastAsia" w:eastAsia="仿宋"/>
          <w:bCs/>
          <w:color w:val="000000"/>
          <w:kern w:val="0"/>
          <w:szCs w:val="32"/>
        </w:rPr>
        <w:t>鲹</w:t>
      </w:r>
      <w:r>
        <w:rPr>
          <w:rFonts w:hint="eastAsia"/>
          <w:bCs/>
          <w:color w:val="000000"/>
          <w:kern w:val="0"/>
          <w:szCs w:val="32"/>
        </w:rPr>
        <w:t>等品种规模化优质苗种繁育基地，提高优良水产苗种覆盖率，不断完善全区水产良种生产体系建设。</w:t>
      </w:r>
    </w:p>
    <w:p>
      <w:pPr>
        <w:pStyle w:val="3"/>
        <w:rPr>
          <w:rFonts w:ascii="Times New Roman" w:hAnsi="Times New Roman"/>
          <w:color w:val="000000"/>
          <w:lang w:val="zh-CN"/>
        </w:rPr>
      </w:pPr>
      <w:bookmarkStart w:id="80" w:name="_Toc112791223"/>
      <w:r>
        <w:rPr>
          <w:rFonts w:hint="eastAsia" w:ascii="Times New Roman" w:hAnsi="Times New Roman"/>
          <w:color w:val="000000"/>
          <w:lang w:val="zh-CN"/>
        </w:rPr>
        <w:t>三、优化水产品加工流通布局</w:t>
      </w:r>
      <w:bookmarkEnd w:id="80"/>
    </w:p>
    <w:p>
      <w:pPr>
        <w:ind w:firstLine="640"/>
        <w:rPr>
          <w:color w:val="000000"/>
          <w:lang w:val="zh-CN"/>
        </w:rPr>
      </w:pPr>
      <w:r>
        <w:rPr>
          <w:rFonts w:hint="eastAsia"/>
          <w:color w:val="000000"/>
          <w:lang w:val="zh-CN"/>
        </w:rPr>
        <w:t>做好广西大宗水产品初加工、精深加工布局，完善水产市场与流通基地建设，构建完善的加工物流体系。</w:t>
      </w:r>
    </w:p>
    <w:p>
      <w:pPr>
        <w:ind w:firstLine="643"/>
        <w:rPr>
          <w:color w:val="000000"/>
        </w:rPr>
      </w:pPr>
      <w:r>
        <w:rPr>
          <w:rFonts w:hint="eastAsia" w:eastAsia="楷体_GB2312"/>
          <w:b/>
          <w:bCs/>
          <w:color w:val="000000"/>
          <w:lang w:val="zh-CN"/>
        </w:rPr>
        <w:t>水产品加工基地。</w:t>
      </w:r>
      <w:r>
        <w:rPr>
          <w:rFonts w:hint="eastAsia"/>
          <w:color w:val="000000"/>
        </w:rPr>
        <w:t>围绕对虾、牡蛎、优质海水鱼、龟鳖、罗非鱼等优势特色大宗品种，以优势产区为基础，进行水产品加工产业布局。</w:t>
      </w:r>
      <w:r>
        <w:rPr>
          <w:rFonts w:hint="eastAsia"/>
          <w:color w:val="000000"/>
          <w:kern w:val="0"/>
          <w:szCs w:val="32"/>
        </w:rPr>
        <w:t>重点</w:t>
      </w:r>
      <w:r>
        <w:rPr>
          <w:rFonts w:hint="eastAsia"/>
          <w:bCs/>
          <w:color w:val="000000"/>
          <w:szCs w:val="32"/>
        </w:rPr>
        <w:t>推进水产加工企业升级改造</w:t>
      </w:r>
      <w:r>
        <w:rPr>
          <w:rFonts w:hint="eastAsia"/>
          <w:bCs/>
          <w:color w:val="000000"/>
          <w:kern w:val="0"/>
          <w:szCs w:val="32"/>
        </w:rPr>
        <w:t>，初加工方面</w:t>
      </w:r>
      <w:r>
        <w:rPr>
          <w:rFonts w:hint="eastAsia"/>
          <w:bCs/>
          <w:color w:val="000000"/>
          <w:szCs w:val="32"/>
        </w:rPr>
        <w:t>重点开展传统鲜销水产品加工产业的升级改造，配备现代化加工生产线和废弃物处理设备，全面提升加工工艺、制造装备和质量安全水平。精深加工方面重点开发标准配方预制食品、预包装食品、方便食品、休闲食品、功能性食品等现代水产食品。积极参与</w:t>
      </w:r>
      <w:r>
        <w:rPr>
          <w:bCs/>
          <w:color w:val="000000"/>
          <w:szCs w:val="32"/>
        </w:rPr>
        <w:t>“</w:t>
      </w:r>
      <w:r>
        <w:rPr>
          <w:rFonts w:hint="eastAsia"/>
          <w:bCs/>
          <w:color w:val="000000"/>
          <w:szCs w:val="32"/>
        </w:rPr>
        <w:t>一带一路</w:t>
      </w:r>
      <w:r>
        <w:rPr>
          <w:bCs/>
          <w:color w:val="000000"/>
          <w:szCs w:val="32"/>
        </w:rPr>
        <w:t>”</w:t>
      </w:r>
      <w:r>
        <w:rPr>
          <w:rFonts w:hint="eastAsia"/>
          <w:bCs/>
          <w:color w:val="000000"/>
          <w:szCs w:val="32"/>
        </w:rPr>
        <w:t>建设，发展国外水产品来料加工和海捕产品初加工产业，把防城港市打造成为中国</w:t>
      </w:r>
      <w:r>
        <w:rPr>
          <w:rFonts w:hint="eastAsia" w:ascii="仿宋_GB2312"/>
          <w:bCs/>
          <w:color w:val="000000"/>
          <w:szCs w:val="32"/>
        </w:rPr>
        <w:t>—</w:t>
      </w:r>
      <w:r>
        <w:rPr>
          <w:rFonts w:hint="eastAsia"/>
          <w:bCs/>
          <w:color w:val="000000"/>
          <w:szCs w:val="32"/>
        </w:rPr>
        <w:t>东盟区域性水产加工贸易聚集区。</w:t>
      </w:r>
      <w:r>
        <w:rPr>
          <w:rFonts w:hint="eastAsia"/>
          <w:color w:val="000000"/>
        </w:rPr>
        <w:t>将水产品加工产业分为初加工类和精深加工类，具体布局如下：</w:t>
      </w:r>
    </w:p>
    <w:p>
      <w:pPr>
        <w:ind w:firstLine="640"/>
        <w:rPr>
          <w:color w:val="000000"/>
        </w:rPr>
      </w:pP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067" w:type="dxa"/>
            <w:gridSpan w:val="2"/>
            <w:shd w:val="clear" w:color="auto" w:fill="auto"/>
            <w:vAlign w:val="center"/>
          </w:tcPr>
          <w:p>
            <w:pPr>
              <w:spacing w:line="240" w:lineRule="auto"/>
              <w:ind w:firstLine="0" w:firstLineChars="0"/>
              <w:jc w:val="center"/>
              <w:rPr>
                <w:rFonts w:eastAsia="黑体"/>
                <w:bCs/>
                <w:color w:val="000000"/>
                <w:kern w:val="0"/>
                <w:sz w:val="28"/>
                <w:szCs w:val="28"/>
              </w:rPr>
            </w:pPr>
            <w:r>
              <w:rPr>
                <w:rFonts w:hint="eastAsia" w:eastAsia="黑体"/>
                <w:color w:val="000000"/>
                <w:kern w:val="0"/>
                <w:sz w:val="28"/>
                <w:szCs w:val="28"/>
              </w:rPr>
              <w:t>专栏</w:t>
            </w:r>
            <w:r>
              <w:rPr>
                <w:rFonts w:eastAsia="黑体"/>
                <w:color w:val="000000"/>
                <w:kern w:val="0"/>
                <w:sz w:val="28"/>
                <w:szCs w:val="28"/>
              </w:rPr>
              <w:t xml:space="preserve">2 </w:t>
            </w:r>
            <w:r>
              <w:rPr>
                <w:rFonts w:hint="eastAsia" w:eastAsia="黑体"/>
                <w:color w:val="000000"/>
                <w:kern w:val="0"/>
                <w:sz w:val="28"/>
                <w:szCs w:val="28"/>
              </w:rPr>
              <w:t>水产加工业重点产业布局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60" w:type="dxa"/>
            <w:shd w:val="clear" w:color="auto" w:fill="auto"/>
            <w:vAlign w:val="center"/>
          </w:tcPr>
          <w:p>
            <w:pPr>
              <w:spacing w:line="240" w:lineRule="auto"/>
              <w:ind w:firstLine="0" w:firstLineChars="0"/>
              <w:jc w:val="center"/>
              <w:rPr>
                <w:b/>
                <w:bCs/>
                <w:color w:val="000000"/>
                <w:kern w:val="0"/>
                <w:sz w:val="28"/>
                <w:szCs w:val="28"/>
              </w:rPr>
            </w:pPr>
            <w:r>
              <w:rPr>
                <w:rFonts w:hint="eastAsia"/>
                <w:b/>
                <w:bCs/>
                <w:color w:val="000000"/>
                <w:kern w:val="0"/>
                <w:sz w:val="28"/>
                <w:szCs w:val="28"/>
              </w:rPr>
              <w:t>重点产业</w:t>
            </w:r>
          </w:p>
        </w:tc>
        <w:tc>
          <w:tcPr>
            <w:tcW w:w="6807" w:type="dxa"/>
            <w:tcBorders>
              <w:bottom w:val="single" w:color="auto" w:sz="4" w:space="0"/>
            </w:tcBorders>
            <w:shd w:val="clear" w:color="auto" w:fill="auto"/>
            <w:vAlign w:val="center"/>
          </w:tcPr>
          <w:p>
            <w:pPr>
              <w:spacing w:line="240" w:lineRule="auto"/>
              <w:ind w:firstLine="0" w:firstLineChars="0"/>
              <w:jc w:val="center"/>
              <w:rPr>
                <w:b/>
                <w:bCs/>
                <w:color w:val="000000"/>
                <w:kern w:val="0"/>
                <w:sz w:val="28"/>
                <w:szCs w:val="28"/>
              </w:rPr>
            </w:pPr>
            <w:r>
              <w:rPr>
                <w:rFonts w:hint="eastAsia"/>
                <w:b/>
                <w:bCs/>
                <w:color w:val="000000"/>
                <w:kern w:val="0"/>
                <w:sz w:val="28"/>
                <w:szCs w:val="28"/>
              </w:rPr>
              <w:t>布局范围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60" w:type="dxa"/>
            <w:vMerge w:val="restart"/>
            <w:tcBorders>
              <w:right w:val="single" w:color="auto" w:sz="4" w:space="0"/>
            </w:tcBorders>
            <w:shd w:val="clear" w:color="auto" w:fill="auto"/>
            <w:vAlign w:val="center"/>
          </w:tcPr>
          <w:p>
            <w:pPr>
              <w:spacing w:line="240" w:lineRule="auto"/>
              <w:ind w:firstLine="0" w:firstLineChars="0"/>
              <w:jc w:val="center"/>
              <w:rPr>
                <w:b/>
                <w:bCs/>
                <w:color w:val="000000"/>
                <w:kern w:val="0"/>
                <w:sz w:val="28"/>
                <w:szCs w:val="28"/>
              </w:rPr>
            </w:pPr>
            <w:r>
              <w:rPr>
                <w:rFonts w:hint="eastAsia"/>
                <w:b/>
                <w:bCs/>
                <w:color w:val="000000"/>
                <w:kern w:val="0"/>
                <w:sz w:val="28"/>
                <w:szCs w:val="28"/>
              </w:rPr>
              <w:t>初加工</w:t>
            </w:r>
          </w:p>
        </w:tc>
        <w:tc>
          <w:tcPr>
            <w:tcW w:w="6807" w:type="dxa"/>
            <w:tcBorders>
              <w:top w:val="single" w:color="auto" w:sz="4" w:space="0"/>
              <w:left w:val="single" w:color="auto" w:sz="4" w:space="0"/>
              <w:bottom w:val="nil"/>
              <w:right w:val="single" w:color="auto" w:sz="4" w:space="0"/>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优质出口鱼（罗非鱼、斑点叉尾</w:t>
            </w:r>
            <w:r>
              <w:rPr>
                <w:rFonts w:hint="eastAsia" w:eastAsia="楷体"/>
                <w:b/>
                <w:bCs/>
                <w:color w:val="000000"/>
                <w:kern w:val="0"/>
                <w:sz w:val="28"/>
                <w:szCs w:val="28"/>
              </w:rPr>
              <w:t>鮰</w:t>
            </w:r>
            <w:r>
              <w:rPr>
                <w:rFonts w:hint="eastAsia" w:eastAsia="楷体_GB2312"/>
                <w:b/>
                <w:bCs/>
                <w:color w:val="000000"/>
                <w:kern w:val="0"/>
                <w:sz w:val="28"/>
                <w:szCs w:val="28"/>
              </w:rPr>
              <w:t>）加工：</w:t>
            </w:r>
            <w:r>
              <w:rPr>
                <w:rFonts w:hint="eastAsia"/>
                <w:color w:val="000000"/>
                <w:kern w:val="0"/>
                <w:sz w:val="28"/>
                <w:szCs w:val="28"/>
              </w:rPr>
              <w:t>南宁、北海、钦州、防城港、贵港、玉林、崇左、柳州、来宾、百色。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60" w:type="dxa"/>
            <w:vMerge w:val="continue"/>
            <w:tcBorders>
              <w:right w:val="single" w:color="auto" w:sz="4" w:space="0"/>
            </w:tcBorders>
            <w:vAlign w:val="center"/>
          </w:tcPr>
          <w:p>
            <w:pPr>
              <w:spacing w:line="240" w:lineRule="auto"/>
              <w:ind w:firstLine="0" w:firstLineChars="0"/>
              <w:jc w:val="left"/>
              <w:rPr>
                <w:b/>
                <w:bCs/>
                <w:color w:val="000000"/>
                <w:kern w:val="0"/>
                <w:sz w:val="28"/>
                <w:szCs w:val="28"/>
              </w:rPr>
            </w:pPr>
          </w:p>
        </w:tc>
        <w:tc>
          <w:tcPr>
            <w:tcW w:w="6807" w:type="dxa"/>
            <w:tcBorders>
              <w:top w:val="nil"/>
              <w:left w:val="single" w:color="auto" w:sz="4" w:space="0"/>
              <w:bottom w:val="nil"/>
              <w:right w:val="single" w:color="auto" w:sz="4" w:space="0"/>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四大家鱼加工：</w:t>
            </w:r>
            <w:r>
              <w:rPr>
                <w:rFonts w:hint="eastAsia"/>
                <w:color w:val="000000"/>
                <w:kern w:val="0"/>
                <w:sz w:val="28"/>
                <w:szCs w:val="28"/>
              </w:rPr>
              <w:t>南宁、梧州、桂林、贵港、玉林、崇左、柳州、来宾、河池、百色、贺州。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260" w:type="dxa"/>
            <w:vMerge w:val="continue"/>
            <w:tcBorders>
              <w:right w:val="single" w:color="auto" w:sz="4" w:space="0"/>
            </w:tcBorders>
            <w:vAlign w:val="center"/>
          </w:tcPr>
          <w:p>
            <w:pPr>
              <w:spacing w:line="240" w:lineRule="auto"/>
              <w:ind w:firstLine="0" w:firstLineChars="0"/>
              <w:jc w:val="left"/>
              <w:rPr>
                <w:b/>
                <w:bCs/>
                <w:color w:val="000000"/>
                <w:kern w:val="0"/>
                <w:sz w:val="28"/>
                <w:szCs w:val="28"/>
              </w:rPr>
            </w:pPr>
          </w:p>
        </w:tc>
        <w:tc>
          <w:tcPr>
            <w:tcW w:w="6807" w:type="dxa"/>
            <w:tcBorders>
              <w:top w:val="nil"/>
              <w:left w:val="single" w:color="auto" w:sz="4" w:space="0"/>
              <w:bottom w:val="nil"/>
              <w:right w:val="single" w:color="auto" w:sz="4" w:space="0"/>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海水鱼虾贝类加工：</w:t>
            </w:r>
            <w:r>
              <w:rPr>
                <w:rFonts w:hint="eastAsia"/>
                <w:color w:val="000000"/>
                <w:kern w:val="0"/>
                <w:sz w:val="28"/>
                <w:szCs w:val="28"/>
              </w:rPr>
              <w:t>钦州、北海、防城港。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260" w:type="dxa"/>
            <w:vMerge w:val="continue"/>
            <w:tcBorders>
              <w:right w:val="single" w:color="auto" w:sz="4" w:space="0"/>
            </w:tcBorders>
            <w:vAlign w:val="center"/>
          </w:tcPr>
          <w:p>
            <w:pPr>
              <w:spacing w:line="240" w:lineRule="auto"/>
              <w:ind w:firstLine="0" w:firstLineChars="0"/>
              <w:jc w:val="left"/>
              <w:rPr>
                <w:b/>
                <w:bCs/>
                <w:color w:val="000000"/>
                <w:kern w:val="0"/>
                <w:sz w:val="28"/>
                <w:szCs w:val="28"/>
              </w:rPr>
            </w:pPr>
          </w:p>
        </w:tc>
        <w:tc>
          <w:tcPr>
            <w:tcW w:w="6807" w:type="dxa"/>
            <w:tcBorders>
              <w:top w:val="nil"/>
              <w:left w:val="single" w:color="auto" w:sz="4" w:space="0"/>
              <w:bottom w:val="nil"/>
              <w:right w:val="single" w:color="auto" w:sz="4" w:space="0"/>
            </w:tcBorders>
            <w:shd w:val="clear" w:color="auto" w:fill="auto"/>
            <w:vAlign w:val="center"/>
          </w:tcPr>
          <w:p>
            <w:pPr>
              <w:spacing w:line="240" w:lineRule="auto"/>
              <w:ind w:firstLine="0" w:firstLineChars="0"/>
              <w:rPr>
                <w:color w:val="000000"/>
                <w:kern w:val="0"/>
                <w:sz w:val="28"/>
                <w:szCs w:val="28"/>
              </w:rPr>
            </w:pPr>
            <w:r>
              <w:rPr>
                <w:rFonts w:hint="eastAsia" w:eastAsia="楷体_GB2312"/>
                <w:b/>
                <w:bCs/>
                <w:color w:val="000000"/>
                <w:kern w:val="0"/>
                <w:sz w:val="28"/>
                <w:szCs w:val="28"/>
              </w:rPr>
              <w:t>禾花鲤</w:t>
            </w:r>
            <w:bookmarkStart w:id="81" w:name="_Hlk112875388"/>
            <w:r>
              <w:rPr>
                <w:rFonts w:hint="eastAsia" w:eastAsia="楷体_GB2312"/>
                <w:b/>
                <w:bCs/>
                <w:color w:val="000000"/>
                <w:kern w:val="0"/>
                <w:sz w:val="28"/>
                <w:szCs w:val="28"/>
              </w:rPr>
              <w:t>加工</w:t>
            </w:r>
            <w:bookmarkEnd w:id="81"/>
            <w:r>
              <w:rPr>
                <w:rFonts w:hint="eastAsia" w:eastAsia="楷体_GB2312"/>
                <w:b/>
                <w:bCs/>
                <w:color w:val="000000"/>
                <w:kern w:val="0"/>
                <w:sz w:val="28"/>
                <w:szCs w:val="28"/>
              </w:rPr>
              <w:t>：</w:t>
            </w:r>
            <w:r>
              <w:rPr>
                <w:rFonts w:hint="eastAsia"/>
                <w:color w:val="000000"/>
                <w:kern w:val="0"/>
                <w:sz w:val="28"/>
                <w:szCs w:val="28"/>
              </w:rPr>
              <w:t>桂林、柳州。</w:t>
            </w:r>
          </w:p>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螺蛳加工：</w:t>
            </w:r>
            <w:r>
              <w:rPr>
                <w:rFonts w:hint="eastAsia"/>
                <w:color w:val="000000"/>
                <w:kern w:val="0"/>
                <w:sz w:val="28"/>
                <w:szCs w:val="28"/>
              </w:rPr>
              <w:t>柳州。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260" w:type="dxa"/>
            <w:vMerge w:val="continue"/>
            <w:tcBorders>
              <w:right w:val="single" w:color="auto" w:sz="4" w:space="0"/>
            </w:tcBorders>
            <w:vAlign w:val="center"/>
          </w:tcPr>
          <w:p>
            <w:pPr>
              <w:spacing w:line="240" w:lineRule="auto"/>
              <w:ind w:firstLine="0" w:firstLineChars="0"/>
              <w:jc w:val="left"/>
              <w:rPr>
                <w:b/>
                <w:bCs/>
                <w:color w:val="000000"/>
                <w:kern w:val="0"/>
                <w:sz w:val="28"/>
                <w:szCs w:val="28"/>
              </w:rPr>
            </w:pPr>
          </w:p>
        </w:tc>
        <w:tc>
          <w:tcPr>
            <w:tcW w:w="6807" w:type="dxa"/>
            <w:tcBorders>
              <w:top w:val="nil"/>
              <w:left w:val="single" w:color="auto" w:sz="4" w:space="0"/>
              <w:bottom w:val="nil"/>
              <w:right w:val="single" w:color="auto" w:sz="4" w:space="0"/>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胡子鲇加工：</w:t>
            </w:r>
            <w:r>
              <w:rPr>
                <w:rFonts w:hint="eastAsia"/>
                <w:color w:val="000000"/>
                <w:kern w:val="0"/>
                <w:sz w:val="28"/>
                <w:szCs w:val="28"/>
              </w:rPr>
              <w:t>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60" w:type="dxa"/>
            <w:vMerge w:val="continue"/>
            <w:tcBorders>
              <w:right w:val="single" w:color="auto" w:sz="4" w:space="0"/>
            </w:tcBorders>
            <w:vAlign w:val="center"/>
          </w:tcPr>
          <w:p>
            <w:pPr>
              <w:spacing w:line="240" w:lineRule="auto"/>
              <w:ind w:firstLine="0" w:firstLineChars="0"/>
              <w:jc w:val="left"/>
              <w:rPr>
                <w:b/>
                <w:bCs/>
                <w:color w:val="000000"/>
                <w:kern w:val="0"/>
                <w:sz w:val="28"/>
                <w:szCs w:val="28"/>
              </w:rPr>
            </w:pPr>
          </w:p>
        </w:tc>
        <w:tc>
          <w:tcPr>
            <w:tcW w:w="6807"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鲑鳟等冷水鱼类加工：</w:t>
            </w:r>
            <w:r>
              <w:rPr>
                <w:rFonts w:hint="eastAsia"/>
                <w:color w:val="000000"/>
                <w:kern w:val="0"/>
                <w:sz w:val="28"/>
                <w:szCs w:val="28"/>
              </w:rPr>
              <w:t>桂林。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260" w:type="dxa"/>
            <w:vMerge w:val="restart"/>
            <w:shd w:val="clear" w:color="auto" w:fill="auto"/>
            <w:vAlign w:val="center"/>
          </w:tcPr>
          <w:p>
            <w:pPr>
              <w:spacing w:line="240" w:lineRule="auto"/>
              <w:ind w:firstLine="0" w:firstLineChars="0"/>
              <w:jc w:val="center"/>
              <w:rPr>
                <w:b/>
                <w:bCs/>
                <w:color w:val="000000"/>
                <w:kern w:val="0"/>
                <w:sz w:val="28"/>
                <w:szCs w:val="28"/>
              </w:rPr>
            </w:pPr>
            <w:r>
              <w:rPr>
                <w:rFonts w:hint="eastAsia"/>
                <w:b/>
                <w:bCs/>
                <w:color w:val="000000"/>
                <w:kern w:val="0"/>
                <w:sz w:val="28"/>
                <w:szCs w:val="28"/>
              </w:rPr>
              <w:t>精深加工</w:t>
            </w:r>
          </w:p>
        </w:tc>
        <w:tc>
          <w:tcPr>
            <w:tcW w:w="6807" w:type="dxa"/>
            <w:tcBorders>
              <w:top w:val="single" w:color="auto" w:sz="4" w:space="0"/>
              <w:bottom w:val="nil"/>
            </w:tcBorders>
            <w:shd w:val="clear" w:color="auto" w:fill="auto"/>
            <w:vAlign w:val="center"/>
          </w:tcPr>
          <w:p>
            <w:pPr>
              <w:spacing w:line="240" w:lineRule="auto"/>
              <w:ind w:firstLine="0" w:firstLineChars="0"/>
              <w:rPr>
                <w:color w:val="000000"/>
                <w:kern w:val="0"/>
                <w:sz w:val="28"/>
                <w:szCs w:val="28"/>
              </w:rPr>
            </w:pPr>
            <w:r>
              <w:rPr>
                <w:rFonts w:hint="eastAsia" w:eastAsia="楷体_GB2312"/>
                <w:b/>
                <w:bCs/>
                <w:color w:val="000000"/>
                <w:kern w:val="0"/>
                <w:sz w:val="28"/>
                <w:szCs w:val="28"/>
              </w:rPr>
              <w:t>鱼肉制品、龟鳖精深加工：</w:t>
            </w:r>
            <w:r>
              <w:rPr>
                <w:rFonts w:hint="eastAsia"/>
                <w:color w:val="000000"/>
                <w:kern w:val="0"/>
                <w:sz w:val="28"/>
                <w:szCs w:val="28"/>
              </w:rPr>
              <w:t>贵港、钦州、崇左、南宁、玉林。</w:t>
            </w:r>
          </w:p>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鳗鲡精深加工：</w:t>
            </w:r>
            <w:r>
              <w:rPr>
                <w:rFonts w:hint="eastAsia"/>
                <w:color w:val="000000"/>
                <w:kern w:val="0"/>
                <w:sz w:val="28"/>
                <w:szCs w:val="28"/>
              </w:rPr>
              <w:t>南宁、崇左。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2260" w:type="dxa"/>
            <w:vMerge w:val="continue"/>
            <w:vAlign w:val="center"/>
          </w:tcPr>
          <w:p>
            <w:pPr>
              <w:spacing w:line="240" w:lineRule="auto"/>
              <w:ind w:firstLine="0" w:firstLineChars="0"/>
              <w:jc w:val="left"/>
              <w:rPr>
                <w:color w:val="000000"/>
                <w:kern w:val="0"/>
                <w:sz w:val="28"/>
                <w:szCs w:val="28"/>
              </w:rPr>
            </w:pPr>
          </w:p>
        </w:tc>
        <w:tc>
          <w:tcPr>
            <w:tcW w:w="6807" w:type="dxa"/>
            <w:tcBorders>
              <w:top w:val="nil"/>
            </w:tcBorders>
            <w:shd w:val="clear" w:color="auto" w:fill="auto"/>
            <w:vAlign w:val="center"/>
          </w:tcPr>
          <w:p>
            <w:pPr>
              <w:spacing w:line="240" w:lineRule="auto"/>
              <w:ind w:firstLine="0" w:firstLineChars="0"/>
              <w:rPr>
                <w:rFonts w:eastAsia="楷体_GB2312"/>
                <w:b/>
                <w:bCs/>
                <w:color w:val="000000"/>
                <w:kern w:val="0"/>
                <w:sz w:val="28"/>
                <w:szCs w:val="28"/>
              </w:rPr>
            </w:pPr>
            <w:r>
              <w:rPr>
                <w:rFonts w:hint="eastAsia" w:eastAsia="楷体_GB2312"/>
                <w:b/>
                <w:bCs/>
                <w:color w:val="000000"/>
                <w:kern w:val="0"/>
                <w:sz w:val="28"/>
                <w:szCs w:val="28"/>
              </w:rPr>
              <w:t>鱼副产物精深加工：</w:t>
            </w:r>
            <w:r>
              <w:rPr>
                <w:rFonts w:hint="eastAsia"/>
                <w:color w:val="000000"/>
                <w:kern w:val="0"/>
                <w:sz w:val="28"/>
                <w:szCs w:val="28"/>
              </w:rPr>
              <w:t>南宁、钦州、北海、防城港。</w:t>
            </w:r>
          </w:p>
        </w:tc>
      </w:tr>
    </w:tbl>
    <w:p>
      <w:pPr>
        <w:ind w:firstLine="640"/>
        <w:rPr>
          <w:color w:val="000000"/>
        </w:rPr>
      </w:pPr>
    </w:p>
    <w:p>
      <w:pPr>
        <w:widowControl w:val="0"/>
        <w:autoSpaceDE w:val="0"/>
        <w:autoSpaceDN w:val="0"/>
        <w:adjustRightInd w:val="0"/>
        <w:snapToGrid w:val="0"/>
        <w:ind w:firstLine="643"/>
        <w:rPr>
          <w:color w:val="000000"/>
          <w:szCs w:val="32"/>
        </w:rPr>
      </w:pPr>
      <w:r>
        <w:rPr>
          <w:rFonts w:hint="eastAsia" w:eastAsia="楷体_GB2312"/>
          <w:b/>
          <w:bCs/>
          <w:color w:val="000000"/>
          <w:lang w:val="zh-CN"/>
        </w:rPr>
        <w:t>水产市场与流通基地。</w:t>
      </w:r>
      <w:r>
        <w:rPr>
          <w:rFonts w:hint="eastAsia"/>
          <w:color w:val="000000"/>
          <w:kern w:val="0"/>
          <w:szCs w:val="32"/>
          <w:lang w:val="zh-CN"/>
        </w:rPr>
        <w:t>在南宁、北海、钦州、防城港、玉林、柳州、桂林</w:t>
      </w:r>
      <w:r>
        <w:rPr>
          <w:rFonts w:hint="eastAsia"/>
          <w:color w:val="000000"/>
          <w:kern w:val="0"/>
          <w:szCs w:val="32"/>
        </w:rPr>
        <w:t>建立</w:t>
      </w:r>
      <w:r>
        <w:rPr>
          <w:rFonts w:hint="eastAsia"/>
          <w:color w:val="000000"/>
          <w:kern w:val="0"/>
          <w:szCs w:val="32"/>
          <w:lang w:val="zh-CN"/>
        </w:rPr>
        <w:t>仓储中心；在南宁、玉林、北海、钦州、防城港新建或改扩建区域性大型水产品专业批发市场。</w:t>
      </w:r>
      <w:r>
        <w:rPr>
          <w:rFonts w:hint="eastAsia"/>
          <w:bCs/>
          <w:color w:val="000000"/>
          <w:szCs w:val="32"/>
        </w:rPr>
        <w:t>引导水产品加工贸易向专业园区聚集</w:t>
      </w:r>
      <w:r>
        <w:rPr>
          <w:rFonts w:hint="eastAsia"/>
          <w:bCs/>
          <w:color w:val="000000"/>
          <w:szCs w:val="32"/>
          <w:lang w:val="zh-CN"/>
        </w:rPr>
        <w:t>，</w:t>
      </w:r>
      <w:r>
        <w:rPr>
          <w:rFonts w:hint="eastAsia"/>
          <w:bCs/>
          <w:color w:val="000000"/>
          <w:szCs w:val="32"/>
        </w:rPr>
        <w:t>加快建设现代渔港经济区，在国土空间规划的指导约束下，按照现代渔港建设标准，合理规划沿海渔港布局，形成以中心渔港、一级渔港为主体，二、三级渔港和避风锚地为支撑的沿海渔港群</w:t>
      </w:r>
      <w:r>
        <w:rPr>
          <w:rFonts w:hint="eastAsia"/>
          <w:color w:val="000000"/>
          <w:szCs w:val="32"/>
        </w:rPr>
        <w:t>，在北海营盘、北海南</w:t>
      </w:r>
      <w:r>
        <w:rPr>
          <w:rFonts w:hint="eastAsia" w:eastAsia="仿宋"/>
          <w:color w:val="000000"/>
          <w:szCs w:val="32"/>
        </w:rPr>
        <w:t>澫</w:t>
      </w:r>
      <w:r>
        <w:rPr>
          <w:rFonts w:hint="eastAsia"/>
          <w:color w:val="000000"/>
          <w:szCs w:val="32"/>
        </w:rPr>
        <w:t>、钦州犀牛脚和防城港企沙等地建设以渔港为中心，加快建设水产品现代物流体系，利用物联网、云计算、大数据、移动互联等现代信息技术和装备，通过</w:t>
      </w:r>
      <w:r>
        <w:rPr>
          <w:color w:val="000000"/>
          <w:szCs w:val="32"/>
        </w:rPr>
        <w:t>“</w:t>
      </w:r>
      <w:r>
        <w:rPr>
          <w:rFonts w:hint="eastAsia"/>
          <w:color w:val="000000"/>
          <w:szCs w:val="32"/>
        </w:rPr>
        <w:t>互联网</w:t>
      </w:r>
      <w:r>
        <w:rPr>
          <w:color w:val="000000"/>
          <w:szCs w:val="32"/>
        </w:rPr>
        <w:t>+”</w:t>
      </w:r>
      <w:r>
        <w:rPr>
          <w:rFonts w:hint="eastAsia"/>
          <w:color w:val="000000"/>
          <w:szCs w:val="32"/>
        </w:rPr>
        <w:t>电子交易平台，提升水产品市场的信息化水平，促进水产品商贸物流发展。</w:t>
      </w:r>
    </w:p>
    <w:p>
      <w:pPr>
        <w:ind w:firstLine="640"/>
        <w:rPr>
          <w:color w:val="000000"/>
          <w:kern w:val="0"/>
          <w:szCs w:val="32"/>
        </w:rPr>
      </w:pPr>
      <w:r>
        <w:rPr>
          <w:color w:val="000000"/>
          <w:kern w:val="0"/>
          <w:szCs w:val="32"/>
        </w:rPr>
        <w:br w:type="page"/>
      </w:r>
    </w:p>
    <w:p>
      <w:pPr>
        <w:pStyle w:val="2"/>
        <w:rPr>
          <w:rFonts w:eastAsia="方正小标宋简体"/>
          <w:color w:val="000000"/>
        </w:rPr>
      </w:pPr>
      <w:bookmarkStart w:id="82" w:name="_Toc112791224"/>
      <w:r>
        <w:rPr>
          <w:rFonts w:hint="eastAsia" w:eastAsia="方正小标宋简体"/>
          <w:color w:val="000000"/>
        </w:rPr>
        <w:t>第四章</w:t>
      </w:r>
      <w:r>
        <w:rPr>
          <w:rFonts w:eastAsia="方正小标宋简体"/>
          <w:color w:val="000000"/>
        </w:rPr>
        <w:t xml:space="preserve">  </w:t>
      </w:r>
      <w:r>
        <w:rPr>
          <w:rFonts w:hint="eastAsia" w:eastAsia="方正小标宋简体"/>
          <w:color w:val="000000"/>
        </w:rPr>
        <w:t>主要任务</w:t>
      </w:r>
      <w:bookmarkEnd w:id="72"/>
      <w:bookmarkEnd w:id="82"/>
    </w:p>
    <w:p>
      <w:pPr>
        <w:ind w:firstLine="640"/>
        <w:rPr>
          <w:color w:val="000000"/>
        </w:rPr>
      </w:pPr>
    </w:p>
    <w:p>
      <w:pPr>
        <w:ind w:firstLine="640"/>
        <w:rPr>
          <w:color w:val="000000"/>
        </w:rPr>
      </w:pPr>
      <w:r>
        <w:rPr>
          <w:rFonts w:hint="eastAsia"/>
          <w:color w:val="000000"/>
        </w:rPr>
        <w:t>坚持把打造现代化渔业贯穿到渔业发展的全过程，着力推进渔业结构性调整，推行创新生产技术、经营方式和机制体制，不断推动渔业产业高质量发展。</w:t>
      </w:r>
    </w:p>
    <w:p>
      <w:pPr>
        <w:ind w:firstLine="640"/>
        <w:rPr>
          <w:color w:val="000000"/>
        </w:rPr>
      </w:pPr>
    </w:p>
    <w:p>
      <w:pPr>
        <w:pStyle w:val="3"/>
        <w:rPr>
          <w:rFonts w:ascii="Times New Roman" w:hAnsi="Times New Roman"/>
          <w:color w:val="000000"/>
        </w:rPr>
      </w:pPr>
      <w:bookmarkStart w:id="83" w:name="_Toc112791225"/>
      <w:r>
        <w:rPr>
          <w:rFonts w:hint="eastAsia" w:ascii="Times New Roman" w:hAnsi="Times New Roman"/>
          <w:color w:val="000000"/>
        </w:rPr>
        <w:t>一、确保水产品有效供给</w:t>
      </w:r>
      <w:bookmarkEnd w:id="83"/>
    </w:p>
    <w:p>
      <w:pPr>
        <w:ind w:firstLine="643"/>
        <w:rPr>
          <w:color w:val="000000"/>
        </w:rPr>
      </w:pPr>
      <w:r>
        <w:rPr>
          <w:rFonts w:hint="eastAsia" w:eastAsia="楷体_GB2312"/>
          <w:b/>
          <w:bCs/>
          <w:color w:val="000000"/>
        </w:rPr>
        <w:t>重点发展设施渔业生态养殖。</w:t>
      </w:r>
      <w:r>
        <w:rPr>
          <w:rFonts w:hint="eastAsia"/>
          <w:color w:val="000000"/>
        </w:rPr>
        <w:t>按照水产绿色养殖要求，推进高标准、高产高效渔业养殖设施建设，相应配套养殖尾水生态治理设备设施，推进养殖尾水处理达标后循环使用或排放，稳步推动水产养殖尾水治理。重点发展池塘工程化循环水（跑道式）生态养殖、陆基圆池、集装箱循环水生态养殖和工厂化循环水养殖等模式。有序发展</w:t>
      </w:r>
      <w:r>
        <w:rPr>
          <w:rFonts w:hint="eastAsia"/>
          <w:color w:val="000000"/>
          <w:kern w:val="0"/>
          <w:lang w:val="zh-CN"/>
        </w:rPr>
        <w:t>重力式深水网箱</w:t>
      </w:r>
      <w:r>
        <w:rPr>
          <w:rFonts w:hint="eastAsia"/>
          <w:color w:val="000000"/>
        </w:rPr>
        <w:t>和新型浮筏（排、球）养殖，开拓深远海养殖，推进离岸养殖</w:t>
      </w:r>
      <w:r>
        <w:rPr>
          <w:color w:val="000000"/>
        </w:rPr>
        <w:t>“</w:t>
      </w:r>
      <w:r>
        <w:rPr>
          <w:rFonts w:hint="eastAsia"/>
          <w:color w:val="000000"/>
        </w:rPr>
        <w:t>由浅向深</w:t>
      </w:r>
      <w:r>
        <w:rPr>
          <w:color w:val="000000"/>
        </w:rPr>
        <w:t>”</w:t>
      </w:r>
      <w:r>
        <w:rPr>
          <w:rFonts w:hint="eastAsia"/>
          <w:color w:val="000000"/>
        </w:rPr>
        <w:t>发展。</w:t>
      </w:r>
    </w:p>
    <w:p>
      <w:pPr>
        <w:ind w:firstLine="643"/>
        <w:rPr>
          <w:color w:val="000000"/>
        </w:rPr>
      </w:pPr>
      <w:r>
        <w:rPr>
          <w:rFonts w:hint="eastAsia" w:eastAsia="楷体_GB2312"/>
          <w:b/>
          <w:bCs/>
          <w:color w:val="000000"/>
        </w:rPr>
        <w:t>推进渔业生态健康养殖。</w:t>
      </w:r>
      <w:r>
        <w:rPr>
          <w:rFonts w:hint="eastAsia"/>
          <w:color w:val="000000"/>
        </w:rPr>
        <w:t>大力推广大水面生态渔业、稻渔综合种养的生态健康养殖模式，在全区支持建设一批大水面生态渔业示范基地，以点带面，推动全区大水面生态渔业发展壮大，在水稻主产区支持建设一批规模化稻渔综合种养示范基地，集成推广</w:t>
      </w:r>
      <w:r>
        <w:rPr>
          <w:color w:val="000000"/>
        </w:rPr>
        <w:t>“</w:t>
      </w:r>
      <w:r>
        <w:rPr>
          <w:rFonts w:hint="eastAsia"/>
          <w:color w:val="000000"/>
        </w:rPr>
        <w:t>广西稻渔综合种养十大模式</w:t>
      </w:r>
      <w:r>
        <w:rPr>
          <w:color w:val="000000"/>
        </w:rPr>
        <w:t>”</w:t>
      </w:r>
      <w:r>
        <w:rPr>
          <w:rFonts w:hint="eastAsia"/>
          <w:color w:val="000000"/>
        </w:rPr>
        <w:t>，加快发展稻渔种养产业。</w:t>
      </w:r>
    </w:p>
    <w:p>
      <w:pPr>
        <w:ind w:firstLine="643"/>
        <w:rPr>
          <w:color w:val="000000"/>
        </w:rPr>
      </w:pPr>
      <w:r>
        <w:rPr>
          <w:rFonts w:hint="eastAsia" w:eastAsia="楷体_GB2312"/>
          <w:b/>
          <w:bCs/>
          <w:color w:val="000000"/>
        </w:rPr>
        <w:t>推进渔业结构性调整。</w:t>
      </w:r>
      <w:r>
        <w:rPr>
          <w:rFonts w:hint="eastAsia"/>
          <w:color w:val="000000"/>
        </w:rPr>
        <w:t>稳定水产养殖面积，发展高质量水产品，优化渔业产业结构，实现渔业转型升级。支持争创一批国家级水产健康养殖和生态养殖示范区，打造水产绿色健康养殖示范标杆。合理控制近海捕捞渔船、捕捞强度，推进海洋捕捞业可持续发展。稳固水产养殖业高质量发展基础，压减近海捕捞强度，保护海洋渔业资源，促进养殖业、水产加工业、休闲渔业等产业发展，优化渔业产业结构，实现渔业转型升级。</w:t>
      </w:r>
    </w:p>
    <w:p>
      <w:pPr>
        <w:ind w:firstLine="640"/>
        <w:rPr>
          <w:color w:val="000000"/>
        </w:rPr>
      </w:pPr>
    </w:p>
    <w:tbl>
      <w:tblPr>
        <w:tblStyle w:val="22"/>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9356" w:type="dxa"/>
            <w:tcBorders>
              <w:bottom w:val="nil"/>
            </w:tcBorders>
            <w:shd w:val="clear" w:color="auto" w:fill="auto"/>
          </w:tcPr>
          <w:p>
            <w:pPr>
              <w:ind w:firstLine="560"/>
              <w:jc w:val="center"/>
              <w:rPr>
                <w:rFonts w:eastAsia="黑体"/>
                <w:color w:val="000000"/>
              </w:rPr>
            </w:pPr>
            <w:r>
              <w:rPr>
                <w:rFonts w:hint="eastAsia" w:eastAsia="黑体"/>
                <w:color w:val="000000"/>
                <w:sz w:val="28"/>
                <w:szCs w:val="21"/>
              </w:rPr>
              <w:t>专栏</w:t>
            </w:r>
            <w:r>
              <w:rPr>
                <w:rFonts w:eastAsia="黑体"/>
                <w:color w:val="000000"/>
                <w:sz w:val="28"/>
                <w:szCs w:val="21"/>
              </w:rPr>
              <w:t xml:space="preserve">3 </w:t>
            </w:r>
            <w:r>
              <w:rPr>
                <w:rFonts w:hint="eastAsia" w:eastAsia="黑体"/>
                <w:color w:val="000000"/>
                <w:sz w:val="28"/>
                <w:szCs w:val="21"/>
              </w:rPr>
              <w:t>水产品稳产保供能力提升工程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4" w:hRule="atLeast"/>
        </w:trPr>
        <w:tc>
          <w:tcPr>
            <w:tcW w:w="9356" w:type="dxa"/>
            <w:tcBorders>
              <w:top w:val="single" w:color="auto" w:sz="4" w:space="0"/>
              <w:bottom w:val="nil"/>
            </w:tcBorders>
            <w:shd w:val="clear" w:color="auto" w:fill="auto"/>
          </w:tcPr>
          <w:p>
            <w:pPr>
              <w:spacing w:line="500" w:lineRule="exact"/>
              <w:ind w:firstLine="562"/>
              <w:rPr>
                <w:b/>
                <w:bCs/>
                <w:color w:val="000000"/>
                <w:sz w:val="28"/>
                <w:szCs w:val="21"/>
              </w:rPr>
            </w:pPr>
            <w:r>
              <w:rPr>
                <w:rFonts w:hint="eastAsia" w:eastAsia="楷体_GB2312"/>
                <w:b/>
                <w:bCs/>
                <w:color w:val="000000"/>
                <w:sz w:val="28"/>
                <w:szCs w:val="21"/>
              </w:rPr>
              <w:t>设施化养殖推进工程：</w:t>
            </w:r>
            <w:r>
              <w:rPr>
                <w:rFonts w:hint="eastAsia"/>
                <w:color w:val="000000"/>
                <w:sz w:val="28"/>
                <w:szCs w:val="21"/>
              </w:rPr>
              <w:t>发展高标准养殖池塘</w:t>
            </w:r>
            <w:r>
              <w:rPr>
                <w:color w:val="000000"/>
                <w:sz w:val="28"/>
                <w:szCs w:val="21"/>
              </w:rPr>
              <w:t>60</w:t>
            </w:r>
            <w:r>
              <w:rPr>
                <w:rFonts w:hint="eastAsia"/>
                <w:color w:val="000000"/>
                <w:sz w:val="28"/>
                <w:szCs w:val="21"/>
              </w:rPr>
              <w:t>万亩，池塘跑道式水槽达到</w:t>
            </w:r>
            <w:r>
              <w:rPr>
                <w:color w:val="000000"/>
                <w:sz w:val="28"/>
                <w:szCs w:val="21"/>
              </w:rPr>
              <w:t>500</w:t>
            </w:r>
            <w:r>
              <w:rPr>
                <w:rFonts w:hint="eastAsia"/>
                <w:color w:val="000000"/>
                <w:sz w:val="28"/>
                <w:szCs w:val="21"/>
              </w:rPr>
              <w:t>条，陆基圆形养殖池达到</w:t>
            </w:r>
            <w:r>
              <w:rPr>
                <w:color w:val="000000"/>
                <w:sz w:val="28"/>
                <w:szCs w:val="21"/>
              </w:rPr>
              <w:t>20000</w:t>
            </w:r>
            <w:r>
              <w:rPr>
                <w:rFonts w:hint="eastAsia"/>
                <w:color w:val="000000"/>
                <w:sz w:val="28"/>
                <w:szCs w:val="21"/>
              </w:rPr>
              <w:t>个以上，建设重力式深水网箱标准箱达到</w:t>
            </w:r>
            <w:r>
              <w:rPr>
                <w:color w:val="000000"/>
                <w:sz w:val="28"/>
                <w:szCs w:val="21"/>
              </w:rPr>
              <w:t>2600</w:t>
            </w:r>
            <w:r>
              <w:rPr>
                <w:rFonts w:hint="eastAsia"/>
                <w:color w:val="000000"/>
                <w:sz w:val="28"/>
                <w:szCs w:val="21"/>
              </w:rPr>
              <w:t>个，新增海水贝类浮（排、球）筏养殖面积</w:t>
            </w:r>
            <w:r>
              <w:rPr>
                <w:color w:val="000000"/>
                <w:sz w:val="28"/>
                <w:szCs w:val="21"/>
              </w:rPr>
              <w:t>2</w:t>
            </w:r>
            <w:r>
              <w:rPr>
                <w:rFonts w:hint="eastAsia"/>
                <w:color w:val="000000"/>
                <w:sz w:val="28"/>
                <w:szCs w:val="21"/>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rPr>
        <w:tc>
          <w:tcPr>
            <w:tcW w:w="9356" w:type="dxa"/>
            <w:tcBorders>
              <w:top w:val="nil"/>
              <w:bottom w:val="nil"/>
            </w:tcBorders>
            <w:shd w:val="clear" w:color="auto" w:fill="auto"/>
          </w:tcPr>
          <w:p>
            <w:pPr>
              <w:spacing w:line="500" w:lineRule="exact"/>
              <w:ind w:firstLine="562"/>
              <w:rPr>
                <w:b/>
                <w:bCs/>
                <w:color w:val="000000"/>
                <w:sz w:val="28"/>
                <w:szCs w:val="21"/>
              </w:rPr>
            </w:pPr>
            <w:r>
              <w:rPr>
                <w:rFonts w:hint="eastAsia" w:eastAsia="楷体_GB2312"/>
                <w:b/>
                <w:bCs/>
                <w:color w:val="000000"/>
                <w:sz w:val="28"/>
                <w:szCs w:val="21"/>
              </w:rPr>
              <w:t>生态养殖推广工程：</w:t>
            </w:r>
            <w:r>
              <w:rPr>
                <w:rFonts w:hint="eastAsia"/>
                <w:color w:val="000000"/>
                <w:sz w:val="28"/>
                <w:szCs w:val="21"/>
              </w:rPr>
              <w:t>建设一批稻渔综合种养示范基地，开展大水面生态养殖，大水面生态渔业总面积达到</w:t>
            </w:r>
            <w:r>
              <w:rPr>
                <w:color w:val="000000"/>
                <w:sz w:val="28"/>
                <w:szCs w:val="21"/>
              </w:rPr>
              <w:t>200</w:t>
            </w:r>
            <w:r>
              <w:rPr>
                <w:rFonts w:hint="eastAsia"/>
                <w:color w:val="000000"/>
                <w:sz w:val="28"/>
                <w:szCs w:val="21"/>
              </w:rPr>
              <w:t>万亩以上；建成一批大水面生态渔业示范基地。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356" w:type="dxa"/>
            <w:tcBorders>
              <w:top w:val="nil"/>
            </w:tcBorders>
            <w:shd w:val="clear" w:color="auto" w:fill="auto"/>
          </w:tcPr>
          <w:p>
            <w:pPr>
              <w:spacing w:line="500" w:lineRule="exact"/>
              <w:ind w:firstLine="562"/>
              <w:rPr>
                <w:b/>
                <w:bCs/>
                <w:color w:val="000000"/>
                <w:sz w:val="28"/>
                <w:szCs w:val="21"/>
              </w:rPr>
            </w:pPr>
            <w:r>
              <w:rPr>
                <w:rFonts w:hint="eastAsia" w:eastAsia="楷体_GB2312"/>
                <w:b/>
                <w:bCs/>
                <w:color w:val="000000"/>
                <w:sz w:val="28"/>
                <w:szCs w:val="21"/>
              </w:rPr>
              <w:t>稳定水产养殖面积工程：</w:t>
            </w:r>
            <w:r>
              <w:rPr>
                <w:rFonts w:hint="eastAsia"/>
                <w:color w:val="000000"/>
                <w:sz w:val="28"/>
                <w:szCs w:val="21"/>
              </w:rPr>
              <w:t>提升水产品稳产保供能力，稳定水产养殖面积</w:t>
            </w:r>
            <w:r>
              <w:rPr>
                <w:color w:val="000000"/>
                <w:sz w:val="28"/>
                <w:szCs w:val="21"/>
              </w:rPr>
              <w:t>300</w:t>
            </w:r>
            <w:r>
              <w:rPr>
                <w:rFonts w:hint="eastAsia"/>
                <w:color w:val="000000"/>
                <w:sz w:val="28"/>
                <w:szCs w:val="21"/>
              </w:rPr>
              <w:t>万亩。</w:t>
            </w:r>
          </w:p>
        </w:tc>
      </w:tr>
    </w:tbl>
    <w:p>
      <w:pPr>
        <w:ind w:firstLine="640"/>
        <w:rPr>
          <w:color w:val="000000"/>
        </w:rPr>
      </w:pPr>
    </w:p>
    <w:p>
      <w:pPr>
        <w:pStyle w:val="3"/>
        <w:rPr>
          <w:rFonts w:ascii="Times New Roman" w:hAnsi="Times New Roman"/>
          <w:color w:val="000000"/>
        </w:rPr>
      </w:pPr>
      <w:bookmarkStart w:id="84" w:name="_Toc112791226"/>
      <w:r>
        <w:rPr>
          <w:rFonts w:hint="eastAsia" w:ascii="Times New Roman" w:hAnsi="Times New Roman"/>
          <w:color w:val="000000"/>
        </w:rPr>
        <w:t>二、促进水产种业振兴</w:t>
      </w:r>
      <w:bookmarkEnd w:id="84"/>
    </w:p>
    <w:p>
      <w:pPr>
        <w:ind w:firstLine="643"/>
        <w:rPr>
          <w:color w:val="000000"/>
          <w:szCs w:val="32"/>
        </w:rPr>
      </w:pPr>
      <w:r>
        <w:rPr>
          <w:rFonts w:hint="eastAsia" w:eastAsia="楷体_GB2312"/>
          <w:b/>
          <w:bCs/>
          <w:color w:val="000000"/>
        </w:rPr>
        <w:t>加强水产种质资源保护利用。</w:t>
      </w:r>
      <w:r>
        <w:rPr>
          <w:rFonts w:hint="eastAsia"/>
          <w:color w:val="000000"/>
        </w:rPr>
        <w:t>强化水产种质资源保护、育种创新、测试评价和良种繁育四大环节，</w:t>
      </w:r>
      <w:r>
        <w:rPr>
          <w:rFonts w:hint="eastAsia"/>
          <w:color w:val="000000"/>
          <w:szCs w:val="32"/>
        </w:rPr>
        <w:t>完善以自治区级水产种质资源（基因）库为核心，构建以保种场、保护区为依托的水产种质资源保存保护体系，加强优势特色养殖品种良种培育和原种保护，加强种质资源多样性与遗传完整性监测，及时开展养护、繁殖与更新复壮工作。</w:t>
      </w:r>
    </w:p>
    <w:p>
      <w:pPr>
        <w:ind w:firstLine="643"/>
        <w:rPr>
          <w:color w:val="000000"/>
          <w:szCs w:val="32"/>
        </w:rPr>
      </w:pPr>
      <w:r>
        <w:rPr>
          <w:rFonts w:hint="eastAsia" w:eastAsia="楷体_GB2312"/>
          <w:b/>
          <w:bCs/>
          <w:color w:val="000000"/>
          <w:szCs w:val="32"/>
        </w:rPr>
        <w:t>加强水产种业技术合作研发。</w:t>
      </w:r>
      <w:r>
        <w:rPr>
          <w:rFonts w:hint="eastAsia"/>
          <w:color w:val="000000"/>
          <w:szCs w:val="32"/>
        </w:rPr>
        <w:t>加强与国家水产育种创新平台在基础研究、种质创新、育种技术开发、新品种选育繁育、良种良法应用等方面合作，开展育种和良种繁育共性关键技术研究，优良品种提纯复壮与亲本更新，品种选育和试验示范，提升广西水产养殖良种覆盖率。培育现代水产种业龙头企业，支持企业与科研单位建立合作平台，加大水产良种繁育技术示范和良种引进推广力度，构建产学研相结合的现代渔业种业转化推广体系。</w:t>
      </w:r>
    </w:p>
    <w:tbl>
      <w:tblPr>
        <w:tblStyle w:val="22"/>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9356" w:type="dxa"/>
            <w:tcBorders>
              <w:bottom w:val="single" w:color="auto" w:sz="4" w:space="0"/>
            </w:tcBorders>
            <w:shd w:val="clear" w:color="auto" w:fill="auto"/>
          </w:tcPr>
          <w:p>
            <w:pPr>
              <w:ind w:firstLine="560"/>
              <w:jc w:val="center"/>
              <w:rPr>
                <w:rFonts w:eastAsia="黑体"/>
                <w:color w:val="000000"/>
              </w:rPr>
            </w:pPr>
            <w:r>
              <w:rPr>
                <w:rFonts w:hint="eastAsia" w:eastAsia="黑体"/>
                <w:color w:val="000000"/>
                <w:sz w:val="28"/>
                <w:szCs w:val="21"/>
              </w:rPr>
              <w:t>专栏</w:t>
            </w:r>
            <w:r>
              <w:rPr>
                <w:rFonts w:eastAsia="黑体"/>
                <w:color w:val="000000"/>
                <w:sz w:val="28"/>
                <w:szCs w:val="21"/>
              </w:rPr>
              <w:t xml:space="preserve">4 </w:t>
            </w:r>
            <w:r>
              <w:rPr>
                <w:rFonts w:hint="eastAsia" w:eastAsia="黑体"/>
                <w:color w:val="000000"/>
                <w:sz w:val="28"/>
                <w:szCs w:val="21"/>
              </w:rPr>
              <w:t>水产种业振兴工程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trPr>
        <w:tc>
          <w:tcPr>
            <w:tcW w:w="9356" w:type="dxa"/>
            <w:tcBorders>
              <w:bottom w:val="single" w:color="auto" w:sz="4" w:space="0"/>
            </w:tcBorders>
            <w:shd w:val="clear" w:color="auto" w:fill="auto"/>
          </w:tcPr>
          <w:p>
            <w:pPr>
              <w:spacing w:line="500" w:lineRule="exact"/>
              <w:ind w:firstLine="562"/>
              <w:rPr>
                <w:b/>
                <w:bCs/>
                <w:color w:val="000000"/>
                <w:sz w:val="28"/>
                <w:szCs w:val="21"/>
              </w:rPr>
            </w:pPr>
            <w:r>
              <w:rPr>
                <w:rFonts w:hint="eastAsia" w:eastAsia="楷体_GB2312"/>
                <w:b/>
                <w:bCs/>
                <w:color w:val="000000"/>
                <w:sz w:val="28"/>
                <w:szCs w:val="21"/>
              </w:rPr>
              <w:t>水产种业提升工程：</w:t>
            </w:r>
            <w:r>
              <w:rPr>
                <w:rFonts w:hint="eastAsia"/>
                <w:color w:val="000000"/>
                <w:sz w:val="28"/>
                <w:szCs w:val="21"/>
              </w:rPr>
              <w:t>创建国家级水产种质资源场</w:t>
            </w:r>
            <w:r>
              <w:rPr>
                <w:color w:val="000000"/>
                <w:sz w:val="28"/>
                <w:szCs w:val="21"/>
              </w:rPr>
              <w:t>2</w:t>
            </w:r>
            <w:r>
              <w:rPr>
                <w:rFonts w:hint="eastAsia"/>
                <w:color w:val="000000"/>
                <w:sz w:val="28"/>
                <w:szCs w:val="21"/>
              </w:rPr>
              <w:t>个，推进自治区级水产种质资源库建设，新增自治区级水产良种场10个以上，建设广西</w:t>
            </w:r>
            <w:r>
              <w:rPr>
                <w:color w:val="000000"/>
                <w:sz w:val="28"/>
                <w:szCs w:val="21"/>
              </w:rPr>
              <w:t>-</w:t>
            </w:r>
            <w:r>
              <w:rPr>
                <w:rFonts w:hint="eastAsia"/>
                <w:color w:val="000000"/>
                <w:sz w:val="28"/>
                <w:szCs w:val="21"/>
              </w:rPr>
              <w:t>东盟渔业优良品种试验站</w:t>
            </w:r>
            <w:r>
              <w:rPr>
                <w:color w:val="000000"/>
                <w:sz w:val="28"/>
                <w:szCs w:val="21"/>
              </w:rPr>
              <w:t>1</w:t>
            </w:r>
            <w:r>
              <w:rPr>
                <w:rFonts w:hint="eastAsia"/>
                <w:color w:val="000000"/>
                <w:sz w:val="28"/>
                <w:szCs w:val="21"/>
              </w:rPr>
              <w:t>个。支持重点品种联合育种，建设渔业种业创新中心、水产育繁推一体化育种创新基地。</w:t>
            </w:r>
          </w:p>
        </w:tc>
      </w:tr>
    </w:tbl>
    <w:p>
      <w:pPr>
        <w:ind w:firstLine="640"/>
        <w:rPr>
          <w:color w:val="000000"/>
          <w:szCs w:val="32"/>
        </w:rPr>
      </w:pPr>
    </w:p>
    <w:p>
      <w:pPr>
        <w:pStyle w:val="3"/>
        <w:rPr>
          <w:rFonts w:ascii="Times New Roman" w:hAnsi="Times New Roman"/>
          <w:color w:val="000000"/>
        </w:rPr>
      </w:pPr>
      <w:bookmarkStart w:id="85" w:name="_Toc112791227"/>
      <w:r>
        <w:rPr>
          <w:rFonts w:hint="eastAsia" w:ascii="Times New Roman" w:hAnsi="Times New Roman"/>
          <w:color w:val="000000"/>
        </w:rPr>
        <w:t>三、强化渔业科技创新</w:t>
      </w:r>
      <w:bookmarkEnd w:id="85"/>
    </w:p>
    <w:p>
      <w:pPr>
        <w:ind w:firstLine="643"/>
        <w:rPr>
          <w:color w:val="000000"/>
        </w:rPr>
      </w:pPr>
      <w:r>
        <w:rPr>
          <w:rFonts w:hint="eastAsia" w:eastAsia="楷体_GB2312"/>
          <w:b/>
          <w:bCs/>
          <w:color w:val="000000"/>
        </w:rPr>
        <w:t>增强渔业科技。</w:t>
      </w:r>
      <w:r>
        <w:rPr>
          <w:rFonts w:hint="eastAsia"/>
          <w:color w:val="000000"/>
        </w:rPr>
        <w:t>提升物质技术装备水平，</w:t>
      </w:r>
      <w:r>
        <w:rPr>
          <w:rFonts w:hint="eastAsia"/>
          <w:color w:val="000000"/>
          <w:szCs w:val="32"/>
        </w:rPr>
        <w:t>加强渔业科研平台和院士工作站建设，加强渔业科技创新体系建设，深化渔业科研机构改革，建立完善自治区级和市级渔业研究机构，加大对渔业科研经费的投入，为现代渔业发展提供强有力的科技支撑。</w:t>
      </w:r>
      <w:bookmarkStart w:id="86" w:name="_Hlk112313403"/>
      <w:r>
        <w:rPr>
          <w:rFonts w:hint="eastAsia"/>
          <w:color w:val="000000"/>
          <w:szCs w:val="32"/>
        </w:rPr>
        <w:t>加强水产种质资源开发、良种繁育、生态养殖和疾病防控等关键共性技术攻关</w:t>
      </w:r>
      <w:bookmarkEnd w:id="86"/>
      <w:r>
        <w:rPr>
          <w:rFonts w:hint="eastAsia"/>
          <w:color w:val="000000"/>
          <w:szCs w:val="32"/>
        </w:rPr>
        <w:t>。</w:t>
      </w:r>
      <w:r>
        <w:rPr>
          <w:rFonts w:hint="eastAsia"/>
          <w:color w:val="000000"/>
        </w:rPr>
        <w:t>强化水产技术推广体系建设，完善水生动物疫病防控体系，加强水生动物疫病监测预警和风险评估，提高重大疫病防控和应急处置能力，建设完善渔业重点县区的水生动物疫病防治站，充分发挥县级防治站的服务指导作用。基本建立覆盖原料供应、加工流通、仓储物流、休闲文化全产业链的地方技术标准或协会行业标准。</w:t>
      </w:r>
    </w:p>
    <w:p>
      <w:pPr>
        <w:ind w:firstLine="643"/>
        <w:rPr>
          <w:color w:val="000000"/>
        </w:rPr>
      </w:pPr>
      <w:r>
        <w:rPr>
          <w:rFonts w:hint="eastAsia" w:eastAsia="楷体_GB2312"/>
          <w:b/>
          <w:bCs/>
          <w:color w:val="000000"/>
        </w:rPr>
        <w:t>创新发展智慧渔业。</w:t>
      </w:r>
      <w:r>
        <w:rPr>
          <w:rFonts w:hint="eastAsia"/>
          <w:color w:val="000000"/>
        </w:rPr>
        <w:t>加快建设数字渔业创新中心，扶持创建一批重要水产品全产业链大数据示范应用基地，构建全产业链数据资源采集、分析、监测、预警体系，提升渔业生产经营和管理数字化、智能化水平。开展智慧渔场建设、智慧农机应用示范，开展智慧渔业示范基地认证，推动广西水产品产地市场建设和全区农产品冷链物流发展。</w:t>
      </w:r>
      <w:r>
        <w:rPr>
          <w:rFonts w:hint="eastAsia"/>
          <w:color w:val="000000"/>
          <w:szCs w:val="32"/>
        </w:rPr>
        <w:t>支持建设基于物联网、大数据、移动互联等现代信息技术和装备的渔业产业信息服务平台，推进水产养殖机械化信息化融合，</w:t>
      </w:r>
      <w:r>
        <w:rPr>
          <w:rFonts w:hint="eastAsia"/>
          <w:color w:val="000000"/>
        </w:rPr>
        <w:t>推进渔业电商发展，开展网络直播带货示范点（基地）建设，推动绿色优质水产品生产与消费有效对接。</w:t>
      </w:r>
    </w:p>
    <w:p>
      <w:pPr>
        <w:ind w:firstLine="640"/>
        <w:rPr>
          <w:color w:val="000000"/>
        </w:rPr>
      </w:pPr>
    </w:p>
    <w:tbl>
      <w:tblPr>
        <w:tblStyle w:val="22"/>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9356" w:type="dxa"/>
            <w:tcBorders>
              <w:bottom w:val="single" w:color="auto" w:sz="4" w:space="0"/>
            </w:tcBorders>
            <w:shd w:val="clear" w:color="auto" w:fill="auto"/>
          </w:tcPr>
          <w:p>
            <w:pPr>
              <w:ind w:firstLine="560"/>
              <w:jc w:val="center"/>
              <w:rPr>
                <w:rFonts w:eastAsia="黑体"/>
                <w:color w:val="000000"/>
              </w:rPr>
            </w:pPr>
            <w:r>
              <w:rPr>
                <w:rFonts w:hint="eastAsia" w:eastAsia="黑体"/>
                <w:color w:val="000000"/>
                <w:sz w:val="28"/>
                <w:szCs w:val="21"/>
              </w:rPr>
              <w:t>专栏</w:t>
            </w:r>
            <w:r>
              <w:rPr>
                <w:rFonts w:eastAsia="黑体"/>
                <w:color w:val="000000"/>
                <w:sz w:val="28"/>
                <w:szCs w:val="21"/>
              </w:rPr>
              <w:t xml:space="preserve">5 </w:t>
            </w:r>
            <w:r>
              <w:rPr>
                <w:rFonts w:hint="eastAsia" w:eastAsia="黑体"/>
                <w:color w:val="000000"/>
                <w:sz w:val="28"/>
                <w:szCs w:val="21"/>
              </w:rPr>
              <w:t>智慧渔业提升工程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trPr>
        <w:tc>
          <w:tcPr>
            <w:tcW w:w="9356" w:type="dxa"/>
            <w:tcBorders>
              <w:bottom w:val="single" w:color="auto" w:sz="4" w:space="0"/>
            </w:tcBorders>
            <w:shd w:val="clear" w:color="auto" w:fill="auto"/>
          </w:tcPr>
          <w:p>
            <w:pPr>
              <w:spacing w:line="500" w:lineRule="exact"/>
              <w:ind w:firstLine="562"/>
              <w:rPr>
                <w:color w:val="000000"/>
                <w:sz w:val="28"/>
                <w:szCs w:val="21"/>
              </w:rPr>
            </w:pPr>
            <w:r>
              <w:rPr>
                <w:rFonts w:hint="eastAsia" w:eastAsia="楷体_GB2312"/>
                <w:b/>
                <w:bCs/>
                <w:color w:val="000000"/>
                <w:sz w:val="28"/>
                <w:szCs w:val="21"/>
              </w:rPr>
              <w:t>智慧渔港工程：</w:t>
            </w:r>
            <w:r>
              <w:rPr>
                <w:rFonts w:hint="eastAsia"/>
                <w:color w:val="000000"/>
                <w:sz w:val="28"/>
                <w:szCs w:val="21"/>
              </w:rPr>
              <w:t>提升智慧化监管水平，构建完善智慧渔港、智慧渔船等管理平台，建设一批智慧渔港。</w:t>
            </w:r>
          </w:p>
          <w:p>
            <w:pPr>
              <w:spacing w:line="500" w:lineRule="exact"/>
              <w:ind w:firstLine="562"/>
              <w:rPr>
                <w:b/>
                <w:bCs/>
                <w:color w:val="000000"/>
                <w:sz w:val="28"/>
                <w:szCs w:val="21"/>
              </w:rPr>
            </w:pPr>
            <w:r>
              <w:rPr>
                <w:rFonts w:hint="eastAsia" w:eastAsia="楷体_GB2312"/>
                <w:b/>
                <w:bCs/>
                <w:color w:val="000000"/>
                <w:sz w:val="28"/>
                <w:szCs w:val="21"/>
              </w:rPr>
              <w:t>智慧渔业升级工程：</w:t>
            </w:r>
            <w:r>
              <w:rPr>
                <w:rFonts w:hint="eastAsia"/>
                <w:color w:val="000000"/>
                <w:sz w:val="28"/>
                <w:szCs w:val="21"/>
              </w:rPr>
              <w:t>加快渔业数字化改造，推广应用先进养殖技术，探索开展无人渔场养殖系统试验示范。</w:t>
            </w:r>
          </w:p>
        </w:tc>
      </w:tr>
    </w:tbl>
    <w:p>
      <w:pPr>
        <w:ind w:firstLine="640"/>
      </w:pPr>
      <w:bookmarkStart w:id="87" w:name="_Toc112791228"/>
    </w:p>
    <w:p>
      <w:pPr>
        <w:pStyle w:val="3"/>
        <w:rPr>
          <w:rFonts w:ascii="Times New Roman" w:hAnsi="Times New Roman"/>
          <w:color w:val="000000"/>
        </w:rPr>
      </w:pPr>
      <w:r>
        <w:rPr>
          <w:rFonts w:hint="eastAsia" w:ascii="Times New Roman" w:hAnsi="Times New Roman"/>
          <w:color w:val="000000"/>
        </w:rPr>
        <w:t>四、构建深远海和近岸协调养殖体系</w:t>
      </w:r>
      <w:bookmarkEnd w:id="87"/>
    </w:p>
    <w:p>
      <w:pPr>
        <w:ind w:firstLine="643"/>
        <w:rPr>
          <w:color w:val="000000"/>
          <w:szCs w:val="32"/>
        </w:rPr>
      </w:pPr>
      <w:r>
        <w:rPr>
          <w:rFonts w:hint="eastAsia" w:eastAsia="楷体_GB2312"/>
          <w:b/>
          <w:bCs/>
          <w:color w:val="000000"/>
        </w:rPr>
        <w:t>推进离岸“蓝色粮仓”建设</w:t>
      </w:r>
      <w:r>
        <w:rPr>
          <w:rFonts w:hint="eastAsia" w:eastAsia="楷体_GB2312"/>
          <w:b/>
          <w:bCs/>
          <w:color w:val="000000"/>
          <w:szCs w:val="32"/>
        </w:rPr>
        <w:t>。</w:t>
      </w:r>
      <w:r>
        <w:rPr>
          <w:rFonts w:hint="eastAsia"/>
          <w:color w:val="000000"/>
          <w:szCs w:val="32"/>
        </w:rPr>
        <w:t>开发</w:t>
      </w:r>
      <w:r>
        <w:rPr>
          <w:color w:val="000000"/>
          <w:szCs w:val="32"/>
        </w:rPr>
        <w:t>20</w:t>
      </w:r>
      <w:r>
        <w:rPr>
          <w:rFonts w:hint="eastAsia"/>
          <w:color w:val="000000"/>
          <w:szCs w:val="32"/>
        </w:rPr>
        <w:t>米等深线以外海域，在适宜海区发展海洋离岸养殖和集约化养殖，</w:t>
      </w:r>
      <w:r>
        <w:rPr>
          <w:color w:val="000000"/>
          <w:szCs w:val="32"/>
        </w:rPr>
        <w:t>10</w:t>
      </w:r>
      <w:r>
        <w:rPr>
          <w:rFonts w:hint="eastAsia"/>
          <w:color w:val="000000"/>
          <w:szCs w:val="32"/>
        </w:rPr>
        <w:t>—</w:t>
      </w:r>
      <w:r>
        <w:rPr>
          <w:color w:val="000000"/>
          <w:szCs w:val="32"/>
        </w:rPr>
        <w:t>40</w:t>
      </w:r>
      <w:r>
        <w:rPr>
          <w:rFonts w:hint="eastAsia"/>
          <w:color w:val="000000"/>
          <w:szCs w:val="32"/>
        </w:rPr>
        <w:t>米等深线海域重点发展以</w:t>
      </w:r>
      <w:r>
        <w:rPr>
          <w:rFonts w:hint="eastAsia"/>
          <w:color w:val="000000"/>
        </w:rPr>
        <w:t>卵形鲳</w:t>
      </w:r>
      <w:r>
        <w:rPr>
          <w:rFonts w:hint="eastAsia" w:eastAsia="仿宋"/>
          <w:color w:val="000000"/>
        </w:rPr>
        <w:t>鲹</w:t>
      </w:r>
      <w:r>
        <w:rPr>
          <w:rFonts w:hint="eastAsia"/>
          <w:color w:val="000000"/>
          <w:szCs w:val="32"/>
        </w:rPr>
        <w:t>、军曹鱼等海水经济鱼类为主的深水网箱养殖，形成海水鱼类规模化养殖基地，推进海水养殖“由浅向深”发展。</w:t>
      </w:r>
    </w:p>
    <w:p>
      <w:pPr>
        <w:ind w:firstLine="0" w:firstLineChars="0"/>
        <w:rPr>
          <w:color w:val="000000"/>
          <w:szCs w:val="32"/>
        </w:rPr>
      </w:pPr>
      <w:r>
        <w:rPr>
          <w:rFonts w:hint="eastAsia"/>
          <w:color w:val="000000"/>
          <w:szCs w:val="32"/>
        </w:rPr>
        <w:t>推进重力式深水网箱、海上养殖平台建设，提高多功能平台、深远海大型智能网箱、海水养殖机械化和自动化装备水平。积极发展高密度养殖技术，大力培育和引进养殖新品种，改善和优化海水养殖业的整体结构。支持海产品深加工，增加产品附加值，促进结构高质化，努力延伸海洋生物食品上下游高端关联产业的链条。</w:t>
      </w:r>
    </w:p>
    <w:p>
      <w:pPr>
        <w:ind w:firstLine="643"/>
        <w:rPr>
          <w:color w:val="000000"/>
          <w:szCs w:val="32"/>
        </w:rPr>
      </w:pPr>
      <w:r>
        <w:rPr>
          <w:rFonts w:hint="eastAsia" w:eastAsia="楷体_GB2312"/>
          <w:b/>
          <w:bCs/>
          <w:color w:val="000000"/>
        </w:rPr>
        <w:t>推进近岸传统养殖生态化转型。</w:t>
      </w:r>
      <w:r>
        <w:rPr>
          <w:rFonts w:hint="eastAsia"/>
          <w:color w:val="000000"/>
          <w:szCs w:val="32"/>
        </w:rPr>
        <w:t>加快发展碳汇渔业，重点支持具有净水功能的贝类养殖，如文蛤、牡蛎等，推广养殖三倍体牡蛎，支持开展浅海滩涂贝类养殖浮（排）筏、底播生态养殖和延绳浮式吊养。支持建设北海银滩南部海域国家级海洋牧场示范区、广西北海冠头岭西南海域精工南珠国家级海洋牧场示范区、防城港市白龙珍珠湾海域国家级海洋牧场示范区和钦州市三娘湾海洋牧场示范区，探索适宜的增养殖目标品种，推广下层利用鱼礁养殖鱼虾蟹贝、上层发展筏（排）式贝类养殖的立体生态混养模式。</w:t>
      </w:r>
    </w:p>
    <w:p>
      <w:pPr>
        <w:ind w:firstLine="640"/>
        <w:rPr>
          <w:color w:val="000000"/>
          <w:szCs w:val="32"/>
        </w:rPr>
      </w:pPr>
    </w:p>
    <w:p>
      <w:pPr>
        <w:pStyle w:val="3"/>
        <w:rPr>
          <w:rFonts w:ascii="Times New Roman" w:hAnsi="Times New Roman"/>
          <w:color w:val="000000"/>
        </w:rPr>
      </w:pPr>
      <w:bookmarkStart w:id="88" w:name="_Toc112791229"/>
      <w:r>
        <w:rPr>
          <w:rFonts w:hint="eastAsia" w:ascii="Times New Roman" w:hAnsi="Times New Roman"/>
          <w:color w:val="000000"/>
        </w:rPr>
        <w:t>五、推进十大园区建设</w:t>
      </w:r>
      <w:bookmarkEnd w:id="88"/>
    </w:p>
    <w:p>
      <w:pPr>
        <w:ind w:firstLine="643"/>
        <w:rPr>
          <w:color w:val="000000"/>
        </w:rPr>
      </w:pPr>
      <w:r>
        <w:rPr>
          <w:rFonts w:hint="eastAsia" w:eastAsia="楷体_GB2312"/>
          <w:b/>
          <w:bCs/>
          <w:color w:val="000000"/>
        </w:rPr>
        <w:t>建设牡蛎产业园区。</w:t>
      </w:r>
      <w:r>
        <w:rPr>
          <w:rFonts w:hint="eastAsia"/>
          <w:color w:val="000000"/>
        </w:rPr>
        <w:t>支持沿海三市建设牡蛎苗种繁育场、香港牡蛎近岸增养殖基地、福建三倍体牡蛎离岸海域增养殖基地、牡蛎净化场、牡蛎精深加工及冷链物流和电子商务园区、牡蛎休闲渔业与文化产业园区等。</w:t>
      </w:r>
    </w:p>
    <w:p>
      <w:pPr>
        <w:ind w:firstLine="643"/>
        <w:rPr>
          <w:color w:val="000000"/>
        </w:rPr>
      </w:pPr>
      <w:r>
        <w:rPr>
          <w:rFonts w:hint="eastAsia" w:eastAsia="楷体_GB2312"/>
          <w:b/>
          <w:bCs/>
          <w:color w:val="000000"/>
        </w:rPr>
        <w:t>建设深水抗风浪养殖园区。</w:t>
      </w:r>
      <w:bookmarkStart w:id="89" w:name="_Hlk91603757"/>
      <w:r>
        <w:rPr>
          <w:rFonts w:hint="eastAsia"/>
          <w:color w:val="000000"/>
        </w:rPr>
        <w:t>支持沿海三市建设以重力式深水网箱升级改造、智能管护为主，兼具休闲渔业和冷链物流及产品加工配套功能的多个养殖园区。</w:t>
      </w:r>
      <w:bookmarkEnd w:id="89"/>
    </w:p>
    <w:p>
      <w:pPr>
        <w:ind w:firstLine="643"/>
        <w:rPr>
          <w:color w:val="000000"/>
        </w:rPr>
      </w:pPr>
      <w:r>
        <w:rPr>
          <w:rFonts w:hint="eastAsia" w:eastAsia="楷体_GB2312"/>
          <w:b/>
          <w:bCs/>
          <w:color w:val="000000"/>
        </w:rPr>
        <w:t>建设南珠产业园区。</w:t>
      </w:r>
      <w:r>
        <w:rPr>
          <w:rFonts w:hint="eastAsia"/>
          <w:color w:val="000000"/>
        </w:rPr>
        <w:t>以北海市为重点，支持建设南珠标准化生态养殖生产设施，以及海上管养平台、海上休闲观光设施、插核室、远程监管系统等配套设施，全力推进南珠产业恢复性发展。</w:t>
      </w:r>
    </w:p>
    <w:p>
      <w:pPr>
        <w:ind w:firstLine="643"/>
        <w:rPr>
          <w:color w:val="000000"/>
        </w:rPr>
      </w:pPr>
      <w:r>
        <w:rPr>
          <w:rFonts w:hint="eastAsia" w:eastAsia="楷体_GB2312"/>
          <w:b/>
          <w:bCs/>
          <w:color w:val="000000"/>
        </w:rPr>
        <w:t>建设高标准养殖池塘产业园区。</w:t>
      </w:r>
      <w:r>
        <w:rPr>
          <w:rFonts w:hint="eastAsia"/>
          <w:color w:val="000000"/>
        </w:rPr>
        <w:t>在南宁、玉林、贵港、桂林、北海、钦州等池塘面积较大的市，通过支持开展清淤挖深、加高加固塘埂、配套完善进排水系统和养殖尾水生态治理系统等池塘标准化改造，形成高标准养殖池塘。</w:t>
      </w:r>
    </w:p>
    <w:p>
      <w:pPr>
        <w:ind w:firstLine="643"/>
        <w:rPr>
          <w:color w:val="000000"/>
        </w:rPr>
      </w:pPr>
      <w:bookmarkStart w:id="90" w:name="_Hlk91604203"/>
      <w:r>
        <w:rPr>
          <w:rFonts w:hint="eastAsia" w:eastAsia="楷体_GB2312"/>
          <w:b/>
          <w:bCs/>
          <w:color w:val="000000"/>
        </w:rPr>
        <w:t>建设陆基设施渔业产业园区。</w:t>
      </w:r>
      <w:bookmarkEnd w:id="90"/>
      <w:r>
        <w:rPr>
          <w:rFonts w:hint="eastAsia"/>
          <w:color w:val="000000"/>
        </w:rPr>
        <w:t>在南宁、柳州、桂林、玉林、贵港、崇左、来宾、河池等具备发展基础的市，支持建设若干个集苗种繁育、饲料生产销售、生态养殖、智能管护、冷链物流配送、科普展示、休闲观光体验等于一体的陆基圆池循环水生态养殖、池塘工程化循环水（跑道式）生态养殖和集装箱循环水生态养殖等陆基设施渔业产业园区。</w:t>
      </w:r>
    </w:p>
    <w:p>
      <w:pPr>
        <w:ind w:firstLine="643"/>
        <w:rPr>
          <w:color w:val="000000"/>
        </w:rPr>
      </w:pPr>
      <w:r>
        <w:rPr>
          <w:rFonts w:hint="eastAsia" w:eastAsia="楷体_GB2312"/>
          <w:b/>
          <w:bCs/>
          <w:color w:val="000000"/>
        </w:rPr>
        <w:t>建设大水面生态渔业示范园区。</w:t>
      </w:r>
      <w:r>
        <w:rPr>
          <w:rFonts w:hint="eastAsia"/>
          <w:color w:val="000000"/>
        </w:rPr>
        <w:t>支持江河水库资源丰富的市建设一批集苗种培育、健康养殖、净水增殖、智能管护、冷链物流配送、休闲观光体验、文化传承、科学普及和餐饮美食等于一体的生态养殖示范区、净水增殖示范区和休闲渔业示范区。</w:t>
      </w:r>
    </w:p>
    <w:p>
      <w:pPr>
        <w:ind w:firstLine="643"/>
        <w:rPr>
          <w:color w:val="000000"/>
          <w:szCs w:val="32"/>
        </w:rPr>
      </w:pPr>
      <w:r>
        <w:rPr>
          <w:rFonts w:hint="eastAsia" w:eastAsia="楷体_GB2312"/>
          <w:b/>
          <w:bCs/>
          <w:color w:val="000000"/>
        </w:rPr>
        <w:t>建设稻渔综合种养产业示范园区。</w:t>
      </w:r>
      <w:r>
        <w:rPr>
          <w:rFonts w:hint="eastAsia"/>
          <w:color w:val="000000"/>
          <w:szCs w:val="32"/>
        </w:rPr>
        <w:t>在水稻优势产区，以规模化企业为发展重点，规范开展田间工程建设，配套建设生产管理用房、远程监管系统、冷链物流配送、休闲渔业设施以及产品促销和电商交易平台等。</w:t>
      </w:r>
    </w:p>
    <w:p>
      <w:pPr>
        <w:ind w:firstLine="643"/>
        <w:rPr>
          <w:color w:val="000000"/>
        </w:rPr>
      </w:pPr>
      <w:r>
        <w:rPr>
          <w:rFonts w:hint="eastAsia" w:eastAsia="楷体_GB2312"/>
          <w:b/>
          <w:bCs/>
          <w:color w:val="000000"/>
        </w:rPr>
        <w:t>建设优势特色品种产业园区。</w:t>
      </w:r>
      <w:r>
        <w:rPr>
          <w:rFonts w:hint="eastAsia"/>
          <w:color w:val="000000"/>
        </w:rPr>
        <w:t>积极打造特色优质品种产业园区。重点支持在南宁、玉林、北海等地区建设罗非鱼加工出口品种产业园区，在沿海地区建设</w:t>
      </w:r>
      <w:r>
        <w:rPr>
          <w:color w:val="000000"/>
        </w:rPr>
        <w:t>拟穴青蟹</w:t>
      </w:r>
      <w:r>
        <w:rPr>
          <w:rFonts w:hint="eastAsia"/>
          <w:color w:val="000000"/>
        </w:rPr>
        <w:t>、大獭蛤、文蛤、巴菲蛤、弹涂鱼等海水特色品种产业园区；在桂西北等冷水资源丰富地区，建设亚冷水性鱼类等特色品种产业园区。完善产业园区基础配套设施，打造苗种繁育、生态养殖、饲料生产、冷链物流、产品加工、品牌打造和休闲体验等全产业链发展的优质品种产业园区。</w:t>
      </w:r>
    </w:p>
    <w:p>
      <w:pPr>
        <w:ind w:firstLine="643"/>
        <w:rPr>
          <w:color w:val="000000"/>
        </w:rPr>
      </w:pPr>
      <w:r>
        <w:rPr>
          <w:rFonts w:hint="eastAsia" w:eastAsia="楷体_GB2312"/>
          <w:b/>
          <w:bCs/>
          <w:color w:val="000000"/>
        </w:rPr>
        <w:t>建设淡水苗种科技产业园区。</w:t>
      </w:r>
      <w:r>
        <w:rPr>
          <w:rFonts w:hint="eastAsia"/>
          <w:color w:val="000000"/>
        </w:rPr>
        <w:t>利用全区低温期短，以及淡水苗种生产传统优势，在钦州、玉林、梧州等地支持四大家鱼等淡水水产苗种繁育生产，重点建设生产规模大、专业性强、有科技研发能力的淡水苗种科技产业园，扩大广西淡水苗种在国内市场份额和占有率，打造一批如“灵山鱼苗”国内知名种业品牌。</w:t>
      </w:r>
    </w:p>
    <w:p>
      <w:pPr>
        <w:ind w:firstLine="643"/>
        <w:rPr>
          <w:color w:val="000000"/>
        </w:rPr>
      </w:pPr>
      <w:r>
        <w:rPr>
          <w:rFonts w:hint="eastAsia" w:eastAsia="楷体_GB2312"/>
          <w:b/>
          <w:bCs/>
          <w:color w:val="000000"/>
        </w:rPr>
        <w:t>建设渔业现代化产业园区。</w:t>
      </w:r>
      <w:r>
        <w:rPr>
          <w:rFonts w:hint="eastAsia"/>
          <w:color w:val="000000"/>
        </w:rPr>
        <w:t>大力推进渔业产业融合发展，提升渔业产业现代化水平，加快形成产业集群。把打造、提升渔业现代化产业园园区承载能力作为服务、促进渔业发展的先导性工作。加快推进园区基础配套工程建设，切实推进水产加工区的基础设施配套建设，完善水产品加工、冷链物流、海洋生物等各环节，完善渔业产业链条。</w:t>
      </w:r>
    </w:p>
    <w:p>
      <w:pPr>
        <w:ind w:firstLine="0" w:firstLineChars="0"/>
        <w:rPr>
          <w:color w:val="000000"/>
        </w:rPr>
      </w:pPr>
    </w:p>
    <w:p>
      <w:pPr>
        <w:pStyle w:val="3"/>
        <w:spacing w:line="580" w:lineRule="exact"/>
        <w:rPr>
          <w:rFonts w:ascii="Times New Roman" w:hAnsi="Times New Roman"/>
          <w:color w:val="000000"/>
        </w:rPr>
      </w:pPr>
      <w:bookmarkStart w:id="91" w:name="_Toc112791230"/>
      <w:r>
        <w:rPr>
          <w:rFonts w:hint="eastAsia" w:ascii="Times New Roman" w:hAnsi="Times New Roman"/>
          <w:color w:val="000000"/>
        </w:rPr>
        <w:t>六、有序发展海洋捕捞生产</w:t>
      </w:r>
      <w:bookmarkEnd w:id="91"/>
    </w:p>
    <w:p>
      <w:pPr>
        <w:spacing w:line="580" w:lineRule="exact"/>
        <w:ind w:firstLine="640"/>
        <w:rPr>
          <w:bCs/>
          <w:color w:val="000000"/>
          <w:szCs w:val="32"/>
        </w:rPr>
      </w:pPr>
      <w:r>
        <w:rPr>
          <w:rFonts w:hint="eastAsia"/>
          <w:bCs/>
          <w:color w:val="000000"/>
          <w:szCs w:val="32"/>
        </w:rPr>
        <w:t>按照优化近海捕捞生产的要求，统筹发展海洋捕捞业。严格执行渔船</w:t>
      </w:r>
      <w:r>
        <w:rPr>
          <w:color w:val="000000"/>
          <w:kern w:val="0"/>
          <w:szCs w:val="32"/>
        </w:rPr>
        <w:t>“</w:t>
      </w:r>
      <w:r>
        <w:rPr>
          <w:rFonts w:hint="eastAsia"/>
          <w:color w:val="000000"/>
          <w:kern w:val="0"/>
          <w:szCs w:val="32"/>
        </w:rPr>
        <w:t>双控</w:t>
      </w:r>
      <w:r>
        <w:rPr>
          <w:color w:val="000000"/>
          <w:kern w:val="0"/>
          <w:szCs w:val="32"/>
        </w:rPr>
        <w:t>”</w:t>
      </w:r>
      <w:r>
        <w:rPr>
          <w:rFonts w:hint="eastAsia"/>
          <w:bCs/>
          <w:color w:val="000000"/>
          <w:szCs w:val="32"/>
        </w:rPr>
        <w:t>制度，继续实施近海捕捞渔民减船转产政策，落实老旧渔船报废工作，逐步压减近海捕捞渔船船数和功率数。继续支持开展近海和远洋渔船及船上消防救生设施设备与海洋宽带设备、渔船防污染等设施设备的现代化更新改造。提升渔港、渔船装备管理信息化建设水平，推动依港管船、管人、管渔获物。进一步加快推进渔具标准化、规范化管理，开展渔获物定点上岸、合法性标签的信息化监管。严格执行海洋渔业资源总量管理以及海洋伏季休渔制度，试点推进限额捕捞。加强渔业资源调查和探捕，科学评估资源量和可捕量，引导捕捞生产向外海转移，积极开发外海渔业资源，指导远洋渔业企业依法依规生产。</w:t>
      </w:r>
    </w:p>
    <w:p>
      <w:pPr>
        <w:spacing w:line="580" w:lineRule="exact"/>
        <w:ind w:firstLine="640"/>
        <w:rPr>
          <w:bCs/>
          <w:color w:val="000000"/>
          <w:szCs w:val="32"/>
        </w:rPr>
      </w:pPr>
    </w:p>
    <w:p>
      <w:pPr>
        <w:pStyle w:val="3"/>
        <w:spacing w:line="580" w:lineRule="exact"/>
        <w:rPr>
          <w:rFonts w:ascii="Times New Roman" w:hAnsi="Times New Roman"/>
          <w:color w:val="000000"/>
        </w:rPr>
      </w:pPr>
      <w:bookmarkStart w:id="92" w:name="_Toc58667340"/>
      <w:bookmarkStart w:id="93" w:name="_Toc73632460"/>
      <w:bookmarkStart w:id="94" w:name="_Toc112791231"/>
      <w:r>
        <w:rPr>
          <w:rFonts w:hint="eastAsia" w:ascii="Times New Roman" w:hAnsi="Times New Roman"/>
          <w:color w:val="000000"/>
        </w:rPr>
        <w:t>七、突出发展二三产业</w:t>
      </w:r>
      <w:bookmarkEnd w:id="92"/>
      <w:bookmarkEnd w:id="93"/>
      <w:bookmarkEnd w:id="94"/>
    </w:p>
    <w:p>
      <w:pPr>
        <w:spacing w:line="580" w:lineRule="exact"/>
        <w:ind w:firstLine="643"/>
        <w:rPr>
          <w:color w:val="000000"/>
        </w:rPr>
      </w:pPr>
      <w:bookmarkStart w:id="95" w:name="_Toc73632462"/>
      <w:bookmarkStart w:id="96" w:name="_Toc72323644"/>
      <w:bookmarkStart w:id="97" w:name="_Toc58667342"/>
      <w:bookmarkStart w:id="98" w:name="_Toc73632461"/>
      <w:bookmarkStart w:id="99" w:name="_Toc58667341"/>
      <w:bookmarkStart w:id="100" w:name="_Toc72323643"/>
      <w:r>
        <w:rPr>
          <w:rFonts w:hint="eastAsia" w:eastAsia="楷体_GB2312"/>
          <w:b/>
          <w:bCs/>
          <w:color w:val="000000"/>
        </w:rPr>
        <w:t>完善水产加工和流通</w:t>
      </w:r>
      <w:bookmarkEnd w:id="95"/>
      <w:bookmarkEnd w:id="96"/>
      <w:bookmarkEnd w:id="97"/>
      <w:r>
        <w:rPr>
          <w:rFonts w:hint="eastAsia" w:eastAsia="楷体_GB2312"/>
          <w:b/>
          <w:bCs/>
          <w:color w:val="000000"/>
        </w:rPr>
        <w:t>体系。</w:t>
      </w:r>
      <w:r>
        <w:rPr>
          <w:rFonts w:hint="eastAsia"/>
          <w:color w:val="000000"/>
        </w:rPr>
        <w:t>积极培育加工龙头企业，促进水产品加工业集群式发展和优化升级。支持加工企业扩大加工原料生产基地建设规模，进一步提高生产和加工能力。以现代特色农业（渔业）示范区为载体，支持加工企业扩大产能和提质升级。支持科研院所创建水产品预制菜工程技术创新平台，推动成立水产品预制菜研究院。依托渔港升级改造和渔港经济区建设，支持建设一批水产品专业批发市场和电商平台，并同时配套建立冷链物流、订单直销、连锁配送、电子商务等现代流通业态。</w:t>
      </w:r>
    </w:p>
    <w:p>
      <w:pPr>
        <w:spacing w:line="580" w:lineRule="exact"/>
        <w:ind w:firstLine="643"/>
        <w:rPr>
          <w:color w:val="000000"/>
        </w:rPr>
      </w:pPr>
      <w:r>
        <w:rPr>
          <w:rFonts w:hint="eastAsia" w:eastAsia="楷体_GB2312"/>
          <w:b/>
          <w:bCs/>
          <w:color w:val="000000"/>
        </w:rPr>
        <w:t>大力发展休闲渔业</w:t>
      </w:r>
      <w:bookmarkEnd w:id="98"/>
      <w:bookmarkEnd w:id="99"/>
      <w:bookmarkEnd w:id="100"/>
      <w:r>
        <w:rPr>
          <w:rFonts w:hint="eastAsia" w:eastAsia="楷体_GB2312"/>
          <w:b/>
          <w:bCs/>
          <w:color w:val="000000"/>
        </w:rPr>
        <w:t>。</w:t>
      </w:r>
      <w:r>
        <w:rPr>
          <w:rFonts w:hint="eastAsia"/>
          <w:color w:val="000000"/>
          <w:szCs w:val="32"/>
        </w:rPr>
        <w:t>指导支持渔业企业结合乡村振兴战略、渔港经济区建设和渔业生产活动，建设现代休闲渔业示范基地，发展海洋文化旅游。深入挖掘渔业文化</w:t>
      </w:r>
      <w:r>
        <w:rPr>
          <w:rFonts w:hint="eastAsia"/>
          <w:color w:val="000000"/>
        </w:rPr>
        <w:t>，突出南珠文化，融入壮乡文化、民俗文化、农耕文化，加强渔业与旅游、文化、科普教育等相关产业有机结合，提升休闲渔业内涵和品质。大力发展滨海休闲垂钓观光、城郊垂钓餐饮、庭院特色养殖观光、大水面生态养殖观光等休闲渔业。加快休闲渔业示范基地和野钓基地建设，积极推进中国</w:t>
      </w:r>
      <w:r>
        <w:rPr>
          <w:color w:val="000000"/>
        </w:rPr>
        <w:t>—</w:t>
      </w:r>
      <w:r>
        <w:rPr>
          <w:rFonts w:hint="eastAsia"/>
          <w:color w:val="000000"/>
        </w:rPr>
        <w:t>东盟渔业休闲文化交流活动，打造内容丰富、形式多样的休闲渔业特色品牌。</w:t>
      </w:r>
    </w:p>
    <w:p>
      <w:pPr>
        <w:spacing w:line="580" w:lineRule="exact"/>
        <w:ind w:firstLine="643"/>
        <w:rPr>
          <w:color w:val="000000"/>
          <w:kern w:val="0"/>
        </w:rPr>
      </w:pPr>
      <w:r>
        <w:rPr>
          <w:rFonts w:hint="eastAsia" w:eastAsia="楷体_GB2312"/>
          <w:b/>
          <w:bCs/>
          <w:color w:val="000000"/>
          <w:kern w:val="0"/>
        </w:rPr>
        <w:t>提升发展最美渔村。</w:t>
      </w:r>
      <w:r>
        <w:rPr>
          <w:rFonts w:hint="eastAsia"/>
          <w:color w:val="000000"/>
          <w:kern w:val="0"/>
        </w:rPr>
        <w:t>开发渔业生产、生活、生态、示范功能，重点培育扶持一批具有区域特色、优势突出、环境优良、管理完善的</w:t>
      </w:r>
      <w:r>
        <w:rPr>
          <w:color w:val="000000"/>
          <w:kern w:val="0"/>
        </w:rPr>
        <w:t>“</w:t>
      </w:r>
      <w:r>
        <w:rPr>
          <w:rFonts w:hint="eastAsia"/>
          <w:color w:val="000000"/>
          <w:kern w:val="0"/>
        </w:rPr>
        <w:t>最美渔村</w:t>
      </w:r>
      <w:r>
        <w:rPr>
          <w:color w:val="000000"/>
          <w:kern w:val="0"/>
        </w:rPr>
        <w:t>”</w:t>
      </w:r>
      <w:r>
        <w:rPr>
          <w:rFonts w:hint="eastAsia"/>
          <w:color w:val="000000"/>
          <w:kern w:val="0"/>
        </w:rPr>
        <w:t>，进一步提升</w:t>
      </w:r>
      <w:r>
        <w:rPr>
          <w:color w:val="000000"/>
          <w:kern w:val="0"/>
        </w:rPr>
        <w:t>“</w:t>
      </w:r>
      <w:r>
        <w:rPr>
          <w:rFonts w:hint="eastAsia"/>
          <w:color w:val="000000"/>
          <w:kern w:val="0"/>
        </w:rPr>
        <w:t>最美渔村</w:t>
      </w:r>
      <w:r>
        <w:rPr>
          <w:color w:val="000000"/>
          <w:kern w:val="0"/>
        </w:rPr>
        <w:t>”</w:t>
      </w:r>
      <w:r>
        <w:rPr>
          <w:rFonts w:hint="eastAsia"/>
          <w:color w:val="000000"/>
          <w:kern w:val="0"/>
        </w:rPr>
        <w:t>品牌和效益。推进产业发展和乡村振兴建设、生态旅游项目相结合，引导</w:t>
      </w:r>
      <w:r>
        <w:rPr>
          <w:color w:val="000000"/>
          <w:kern w:val="0"/>
        </w:rPr>
        <w:t>“</w:t>
      </w:r>
      <w:r>
        <w:rPr>
          <w:rFonts w:hint="eastAsia"/>
          <w:color w:val="000000"/>
          <w:kern w:val="0"/>
        </w:rPr>
        <w:t>最美渔村</w:t>
      </w:r>
      <w:r>
        <w:rPr>
          <w:color w:val="000000"/>
          <w:kern w:val="0"/>
        </w:rPr>
        <w:t>”</w:t>
      </w:r>
      <w:r>
        <w:rPr>
          <w:rFonts w:hint="eastAsia"/>
          <w:color w:val="000000"/>
          <w:kern w:val="0"/>
        </w:rPr>
        <w:t>围绕生态水产品开发、海洋与渔业文化创意等不断拓展功能，着力突出壮乡特色和文化特点，发展特色渔文化旅游，促进休闲渔业与文化、旅游、摄影等产业融合发展。</w:t>
      </w:r>
      <w:bookmarkStart w:id="101" w:name="_Toc58667343"/>
    </w:p>
    <w:p>
      <w:pPr>
        <w:spacing w:line="580" w:lineRule="exact"/>
        <w:ind w:firstLine="643"/>
        <w:rPr>
          <w:color w:val="000000"/>
          <w:kern w:val="0"/>
        </w:rPr>
      </w:pPr>
      <w:r>
        <w:rPr>
          <w:rFonts w:hint="eastAsia" w:eastAsia="楷体_GB2312"/>
          <w:b/>
          <w:bCs/>
          <w:color w:val="000000"/>
          <w:kern w:val="0"/>
        </w:rPr>
        <w:t>强化渔业旅游设施建设</w:t>
      </w:r>
      <w:bookmarkEnd w:id="101"/>
      <w:r>
        <w:rPr>
          <w:rFonts w:hint="eastAsia" w:eastAsia="楷体_GB2312"/>
          <w:b/>
          <w:bCs/>
          <w:color w:val="000000"/>
          <w:kern w:val="0"/>
        </w:rPr>
        <w:t>。</w:t>
      </w:r>
      <w:r>
        <w:rPr>
          <w:rFonts w:hint="eastAsia"/>
          <w:color w:val="000000"/>
          <w:kern w:val="0"/>
        </w:rPr>
        <w:t>积极推进渔区旅游基础设施建设。统筹规划，合理布局，以渔港经济区建设为抓手，带动渔区小城镇和渔村发展。加强渔区基础设施建设和渔区村庄整治，强化渔港避风功能和生产服务功能，完善生态环保功能，拓展休闲旅游功能，形成一批具有渔乡风情、功能互补的特色渔村，促进渔业增效、渔民增收，促进渔区教育、文化、卫生、养老等社会事业的全面发展。</w:t>
      </w:r>
    </w:p>
    <w:p>
      <w:pPr>
        <w:spacing w:line="580" w:lineRule="exact"/>
        <w:ind w:firstLine="643"/>
        <w:rPr>
          <w:color w:val="000000"/>
          <w:kern w:val="0"/>
        </w:rPr>
      </w:pPr>
      <w:bookmarkStart w:id="102" w:name="_Toc58667344"/>
      <w:bookmarkStart w:id="103" w:name="_Toc72323645"/>
      <w:bookmarkStart w:id="104" w:name="_Toc73632463"/>
      <w:r>
        <w:rPr>
          <w:rFonts w:hint="eastAsia"/>
          <w:b/>
          <w:bCs/>
          <w:color w:val="000000"/>
          <w:kern w:val="0"/>
        </w:rPr>
        <w:t>培育打造广西渔业品牌</w:t>
      </w:r>
      <w:bookmarkEnd w:id="102"/>
      <w:bookmarkEnd w:id="103"/>
      <w:bookmarkEnd w:id="104"/>
      <w:r>
        <w:rPr>
          <w:rFonts w:hint="eastAsia"/>
          <w:b/>
          <w:bCs/>
          <w:color w:val="000000"/>
          <w:kern w:val="0"/>
        </w:rPr>
        <w:t>。</w:t>
      </w:r>
      <w:r>
        <w:rPr>
          <w:rFonts w:hint="eastAsia"/>
          <w:color w:val="000000"/>
          <w:kern w:val="0"/>
        </w:rPr>
        <w:t>实施品牌战略，继续推进广西区域特色品牌培育，打造一批如</w:t>
      </w:r>
      <w:r>
        <w:rPr>
          <w:color w:val="000000"/>
          <w:kern w:val="0"/>
        </w:rPr>
        <w:t>“</w:t>
      </w:r>
      <w:r>
        <w:rPr>
          <w:rFonts w:hint="eastAsia"/>
          <w:color w:val="000000"/>
          <w:kern w:val="0"/>
        </w:rPr>
        <w:t>钦州大蚝</w:t>
      </w:r>
      <w:r>
        <w:rPr>
          <w:color w:val="000000"/>
          <w:kern w:val="0"/>
        </w:rPr>
        <w:t>”</w:t>
      </w:r>
      <w:r>
        <w:rPr>
          <w:rFonts w:hint="eastAsia"/>
          <w:color w:val="000000"/>
          <w:kern w:val="0"/>
        </w:rPr>
        <w:t>等带动力强的全国性水产特色品牌，培育一批如</w:t>
      </w:r>
      <w:r>
        <w:rPr>
          <w:color w:val="000000"/>
          <w:kern w:val="0"/>
        </w:rPr>
        <w:t>“</w:t>
      </w:r>
      <w:r>
        <w:rPr>
          <w:rFonts w:hint="eastAsia"/>
          <w:color w:val="000000"/>
          <w:kern w:val="0"/>
        </w:rPr>
        <w:t>三江稻田鲤鱼</w:t>
      </w:r>
      <w:r>
        <w:rPr>
          <w:color w:val="000000"/>
          <w:kern w:val="0"/>
        </w:rPr>
        <w:t>”</w:t>
      </w:r>
      <w:r>
        <w:rPr>
          <w:rFonts w:hint="eastAsia"/>
          <w:color w:val="000000"/>
          <w:kern w:val="0"/>
        </w:rPr>
        <w:t>、</w:t>
      </w:r>
      <w:r>
        <w:rPr>
          <w:color w:val="000000"/>
          <w:kern w:val="0"/>
        </w:rPr>
        <w:t>“</w:t>
      </w:r>
      <w:r>
        <w:rPr>
          <w:rFonts w:hint="eastAsia"/>
          <w:color w:val="000000"/>
          <w:kern w:val="0"/>
        </w:rPr>
        <w:t>钦州石斑鱼</w:t>
      </w:r>
      <w:r>
        <w:rPr>
          <w:color w:val="000000"/>
          <w:kern w:val="0"/>
        </w:rPr>
        <w:t>”“</w:t>
      </w:r>
      <w:r>
        <w:rPr>
          <w:rFonts w:hint="eastAsia"/>
          <w:color w:val="000000"/>
          <w:kern w:val="0"/>
        </w:rPr>
        <w:t>北海沙虫</w:t>
      </w:r>
      <w:r>
        <w:rPr>
          <w:color w:val="000000"/>
          <w:kern w:val="0"/>
        </w:rPr>
        <w:t>”“</w:t>
      </w:r>
      <w:r>
        <w:rPr>
          <w:rFonts w:hint="eastAsia"/>
          <w:color w:val="000000"/>
          <w:kern w:val="0"/>
        </w:rPr>
        <w:t>融水田鲤</w:t>
      </w:r>
      <w:r>
        <w:rPr>
          <w:color w:val="000000"/>
          <w:kern w:val="0"/>
        </w:rPr>
        <w:t>”</w:t>
      </w:r>
      <w:r>
        <w:rPr>
          <w:rFonts w:hint="eastAsia"/>
          <w:color w:val="000000"/>
          <w:kern w:val="0"/>
        </w:rPr>
        <w:t>、“柳州螺蛳”等国家地理标志水产品。以自主创新和品牌建设为核心，引导水产龙头企业全方位、多层次地开展自主品牌建设，争创国家地理标志等品牌，打造一批水产品预制菜品牌，推出桂系菜水产预制菜品。引导有条件的企业参与水产品国际认证，培育一批具有国际竞争力的自主品牌，扩大水产品出口。</w:t>
      </w:r>
    </w:p>
    <w:p>
      <w:pPr>
        <w:spacing w:line="580" w:lineRule="exact"/>
        <w:ind w:firstLine="643"/>
        <w:rPr>
          <w:color w:val="000000"/>
        </w:rPr>
      </w:pPr>
      <w:r>
        <w:rPr>
          <w:rFonts w:hint="eastAsia" w:eastAsia="楷体_GB2312"/>
          <w:b/>
          <w:bCs/>
          <w:color w:val="000000"/>
          <w:kern w:val="0"/>
        </w:rPr>
        <w:t>弘扬渔业特色文化。</w:t>
      </w:r>
      <w:r>
        <w:rPr>
          <w:rFonts w:hint="eastAsia"/>
          <w:color w:val="000000"/>
          <w:kern w:val="0"/>
        </w:rPr>
        <w:t>继续办好</w:t>
      </w:r>
      <w:r>
        <w:rPr>
          <w:color w:val="000000"/>
          <w:kern w:val="0"/>
        </w:rPr>
        <w:t>“</w:t>
      </w:r>
      <w:r>
        <w:rPr>
          <w:rFonts w:hint="eastAsia"/>
          <w:color w:val="000000"/>
          <w:kern w:val="0"/>
        </w:rPr>
        <w:t>广西稻渔丰收节</w:t>
      </w:r>
      <w:r>
        <w:rPr>
          <w:color w:val="000000"/>
          <w:kern w:val="0"/>
        </w:rPr>
        <w:t>”“</w:t>
      </w:r>
      <w:r>
        <w:rPr>
          <w:rFonts w:hint="eastAsia"/>
          <w:color w:val="000000"/>
          <w:kern w:val="0"/>
        </w:rPr>
        <w:t>钦州蚝情节</w:t>
      </w:r>
      <w:r>
        <w:rPr>
          <w:color w:val="000000"/>
          <w:kern w:val="0"/>
        </w:rPr>
        <w:t>” “</w:t>
      </w:r>
      <w:r>
        <w:rPr>
          <w:rFonts w:hint="eastAsia"/>
          <w:color w:val="000000"/>
          <w:kern w:val="0"/>
        </w:rPr>
        <w:t>北部湾开海节</w:t>
      </w:r>
      <w:r>
        <w:rPr>
          <w:color w:val="000000"/>
          <w:kern w:val="0"/>
        </w:rPr>
        <w:t>”“</w:t>
      </w:r>
      <w:r>
        <w:rPr>
          <w:rFonts w:hint="eastAsia"/>
          <w:color w:val="000000"/>
          <w:kern w:val="0"/>
        </w:rPr>
        <w:t>北海珍珠节</w:t>
      </w:r>
      <w:r>
        <w:rPr>
          <w:color w:val="000000"/>
          <w:kern w:val="0"/>
        </w:rPr>
        <w:t>”</w:t>
      </w:r>
      <w:r>
        <w:rPr>
          <w:rFonts w:hint="eastAsia"/>
          <w:color w:val="000000"/>
          <w:kern w:val="0"/>
        </w:rPr>
        <w:t>等活动，提升壮乡特色渔业文化价值；传承</w:t>
      </w:r>
      <w:r>
        <w:rPr>
          <w:color w:val="000000"/>
          <w:kern w:val="0"/>
        </w:rPr>
        <w:t>“</w:t>
      </w:r>
      <w:r>
        <w:rPr>
          <w:rFonts w:hint="eastAsia"/>
          <w:color w:val="000000"/>
          <w:kern w:val="0"/>
        </w:rPr>
        <w:t>渔家宴</w:t>
      </w:r>
      <w:r>
        <w:rPr>
          <w:color w:val="000000"/>
          <w:kern w:val="0"/>
        </w:rPr>
        <w:t>” “</w:t>
      </w:r>
      <w:r>
        <w:rPr>
          <w:rFonts w:hint="eastAsia"/>
          <w:color w:val="000000"/>
          <w:kern w:val="0"/>
        </w:rPr>
        <w:t>渔家乐</w:t>
      </w:r>
      <w:r>
        <w:rPr>
          <w:color w:val="000000"/>
          <w:kern w:val="0"/>
        </w:rPr>
        <w:t>”“</w:t>
      </w:r>
      <w:r>
        <w:rPr>
          <w:rFonts w:hint="eastAsia"/>
          <w:color w:val="000000"/>
          <w:kern w:val="0"/>
        </w:rPr>
        <w:t>渔家客栈</w:t>
      </w:r>
      <w:r>
        <w:rPr>
          <w:color w:val="000000"/>
          <w:kern w:val="0"/>
        </w:rPr>
        <w:t>”</w:t>
      </w:r>
      <w:r>
        <w:rPr>
          <w:rFonts w:hint="eastAsia"/>
          <w:color w:val="000000"/>
          <w:kern w:val="0"/>
        </w:rPr>
        <w:t>等独具特色的渔家民俗文化。</w:t>
      </w:r>
      <w:r>
        <w:rPr>
          <w:rFonts w:hint="eastAsia"/>
          <w:color w:val="000000"/>
        </w:rPr>
        <w:t>以优势特色产品为依托，积极开展品牌宣传推介活动，推动产品参加国内各种水产专业展会的展销活动，提升产品的知名度、信誉度和美誉度。</w:t>
      </w:r>
    </w:p>
    <w:p>
      <w:pPr>
        <w:spacing w:line="580" w:lineRule="exact"/>
        <w:ind w:firstLine="640"/>
        <w:rPr>
          <w:color w:val="000000"/>
        </w:rPr>
      </w:pPr>
    </w:p>
    <w:tbl>
      <w:tblPr>
        <w:tblStyle w:val="22"/>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9129" w:type="dxa"/>
            <w:vAlign w:val="center"/>
          </w:tcPr>
          <w:p>
            <w:pPr>
              <w:widowControl w:val="0"/>
              <w:autoSpaceDE w:val="0"/>
              <w:autoSpaceDN w:val="0"/>
              <w:adjustRightInd w:val="0"/>
              <w:snapToGrid w:val="0"/>
              <w:spacing w:line="580" w:lineRule="exact"/>
              <w:ind w:firstLine="0" w:firstLineChars="0"/>
              <w:jc w:val="center"/>
              <w:rPr>
                <w:rFonts w:eastAsia="黑体"/>
                <w:bCs/>
                <w:color w:val="000000"/>
                <w:kern w:val="0"/>
                <w:sz w:val="28"/>
                <w:szCs w:val="28"/>
                <w:lang w:val="zh-CN"/>
              </w:rPr>
            </w:pPr>
            <w:r>
              <w:rPr>
                <w:rFonts w:hint="eastAsia" w:eastAsia="黑体"/>
                <w:bCs/>
                <w:color w:val="000000"/>
                <w:kern w:val="0"/>
                <w:sz w:val="28"/>
                <w:szCs w:val="28"/>
                <w:lang w:val="zh-CN"/>
              </w:rPr>
              <w:t>专栏</w:t>
            </w:r>
            <w:r>
              <w:rPr>
                <w:rFonts w:eastAsia="黑体"/>
                <w:bCs/>
                <w:color w:val="000000"/>
                <w:kern w:val="0"/>
                <w:sz w:val="28"/>
                <w:szCs w:val="28"/>
              </w:rPr>
              <w:t>6</w:t>
            </w:r>
            <w:r>
              <w:rPr>
                <w:rFonts w:eastAsia="黑体"/>
                <w:bCs/>
                <w:color w:val="000000"/>
                <w:kern w:val="0"/>
                <w:sz w:val="28"/>
                <w:szCs w:val="28"/>
                <w:lang w:val="zh-CN"/>
              </w:rPr>
              <w:t xml:space="preserve"> </w:t>
            </w:r>
            <w:r>
              <w:rPr>
                <w:rFonts w:hint="eastAsia" w:eastAsia="黑体"/>
                <w:bCs/>
                <w:color w:val="000000"/>
                <w:kern w:val="0"/>
                <w:sz w:val="28"/>
                <w:szCs w:val="28"/>
                <w:lang w:val="zh-CN"/>
              </w:rPr>
              <w:t>产业融合发展工程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9129" w:type="dxa"/>
            <w:vAlign w:val="center"/>
          </w:tcPr>
          <w:p>
            <w:pPr>
              <w:widowControl w:val="0"/>
              <w:autoSpaceDE w:val="0"/>
              <w:autoSpaceDN w:val="0"/>
              <w:adjustRightInd w:val="0"/>
              <w:snapToGrid w:val="0"/>
              <w:spacing w:line="500" w:lineRule="exact"/>
              <w:ind w:firstLine="562"/>
              <w:rPr>
                <w:bCs/>
                <w:color w:val="000000"/>
                <w:kern w:val="0"/>
                <w:sz w:val="28"/>
                <w:szCs w:val="28"/>
                <w:lang w:val="zh-CN"/>
              </w:rPr>
            </w:pPr>
            <w:r>
              <w:rPr>
                <w:rFonts w:hint="eastAsia"/>
                <w:b/>
                <w:color w:val="000000"/>
                <w:kern w:val="0"/>
                <w:sz w:val="28"/>
                <w:szCs w:val="28"/>
                <w:lang w:val="zh-CN"/>
              </w:rPr>
              <w:t>水产品初加工和冷藏保鲜能力提升工程：</w:t>
            </w:r>
            <w:r>
              <w:rPr>
                <w:rFonts w:hint="eastAsia"/>
                <w:bCs/>
                <w:color w:val="000000"/>
                <w:kern w:val="0"/>
                <w:sz w:val="28"/>
                <w:szCs w:val="28"/>
                <w:lang w:val="zh-CN"/>
              </w:rPr>
              <w:t>支持提高效率、提升品质、节约资源、生态环保、生产安全的水产品初加工和冷藏保鲜设施设备升级改造。</w:t>
            </w:r>
          </w:p>
          <w:p>
            <w:pPr>
              <w:widowControl w:val="0"/>
              <w:autoSpaceDE w:val="0"/>
              <w:autoSpaceDN w:val="0"/>
              <w:adjustRightInd w:val="0"/>
              <w:snapToGrid w:val="0"/>
              <w:spacing w:line="500" w:lineRule="exact"/>
              <w:ind w:firstLine="562"/>
              <w:rPr>
                <w:bCs/>
                <w:color w:val="000000"/>
                <w:kern w:val="0"/>
                <w:sz w:val="28"/>
                <w:szCs w:val="28"/>
                <w:lang w:val="zh-CN"/>
              </w:rPr>
            </w:pPr>
            <w:r>
              <w:rPr>
                <w:rFonts w:hint="eastAsia"/>
                <w:b/>
                <w:color w:val="000000"/>
                <w:kern w:val="0"/>
                <w:sz w:val="28"/>
                <w:szCs w:val="28"/>
                <w:lang w:val="zh-CN"/>
              </w:rPr>
              <w:t>水产品预制菜能力提升工程：</w:t>
            </w:r>
            <w:r>
              <w:rPr>
                <w:rFonts w:hint="eastAsia"/>
                <w:bCs/>
                <w:color w:val="000000"/>
                <w:kern w:val="0"/>
                <w:sz w:val="28"/>
                <w:szCs w:val="28"/>
                <w:lang w:val="zh-CN"/>
              </w:rPr>
              <w:t>支持创建水产品预制菜工程技术创新平台，建立水产品预制菜研究院，建设</w:t>
            </w:r>
            <w:r>
              <w:rPr>
                <w:bCs/>
                <w:color w:val="000000"/>
                <w:kern w:val="0"/>
                <w:sz w:val="28"/>
                <w:szCs w:val="28"/>
                <w:lang w:val="zh-CN"/>
              </w:rPr>
              <w:t>1</w:t>
            </w:r>
            <w:r>
              <w:rPr>
                <w:rFonts w:hint="eastAsia"/>
                <w:bCs/>
                <w:color w:val="000000"/>
                <w:kern w:val="0"/>
                <w:sz w:val="28"/>
                <w:szCs w:val="28"/>
                <w:lang w:val="zh-CN"/>
              </w:rPr>
              <w:t>个以上农业（水产品）预制菜产业园。</w:t>
            </w:r>
          </w:p>
          <w:p>
            <w:pPr>
              <w:widowControl w:val="0"/>
              <w:autoSpaceDE w:val="0"/>
              <w:autoSpaceDN w:val="0"/>
              <w:adjustRightInd w:val="0"/>
              <w:snapToGrid w:val="0"/>
              <w:spacing w:line="500" w:lineRule="exact"/>
              <w:ind w:firstLine="562"/>
              <w:rPr>
                <w:b/>
                <w:color w:val="000000"/>
                <w:kern w:val="0"/>
                <w:sz w:val="28"/>
                <w:szCs w:val="28"/>
                <w:lang w:val="zh-CN"/>
              </w:rPr>
            </w:pPr>
            <w:r>
              <w:rPr>
                <w:rFonts w:hint="eastAsia"/>
                <w:b/>
                <w:color w:val="000000"/>
                <w:kern w:val="0"/>
                <w:sz w:val="28"/>
                <w:szCs w:val="28"/>
                <w:lang w:val="zh-CN"/>
              </w:rPr>
              <w:t>休闲渔业升级工程：</w:t>
            </w:r>
            <w:r>
              <w:rPr>
                <w:rFonts w:hint="eastAsia"/>
                <w:bCs/>
                <w:color w:val="000000"/>
                <w:kern w:val="0"/>
                <w:sz w:val="28"/>
                <w:szCs w:val="28"/>
                <w:lang w:val="zh-CN"/>
              </w:rPr>
              <w:t>支持地方举办特色渔业节庆活动，发展特色渔文化旅游，建设一批特色渔村，创建全国特色渔业之乡和全国休闲渔业示范基地。</w:t>
            </w:r>
          </w:p>
          <w:p>
            <w:pPr>
              <w:widowControl w:val="0"/>
              <w:autoSpaceDE w:val="0"/>
              <w:autoSpaceDN w:val="0"/>
              <w:adjustRightInd w:val="0"/>
              <w:snapToGrid w:val="0"/>
              <w:spacing w:line="500" w:lineRule="exact"/>
              <w:ind w:firstLine="562"/>
              <w:rPr>
                <w:bCs/>
                <w:color w:val="000000"/>
                <w:kern w:val="0"/>
                <w:sz w:val="28"/>
                <w:szCs w:val="28"/>
                <w:lang w:val="zh-CN"/>
              </w:rPr>
            </w:pPr>
            <w:r>
              <w:rPr>
                <w:rFonts w:hint="eastAsia"/>
                <w:b/>
                <w:color w:val="000000"/>
                <w:kern w:val="0"/>
                <w:sz w:val="28"/>
                <w:szCs w:val="28"/>
                <w:lang w:val="zh-CN"/>
              </w:rPr>
              <w:t>广西渔业品牌升级工程：</w:t>
            </w:r>
            <w:r>
              <w:rPr>
                <w:rFonts w:hint="eastAsia"/>
                <w:bCs/>
                <w:color w:val="000000"/>
                <w:kern w:val="0"/>
                <w:sz w:val="28"/>
                <w:szCs w:val="28"/>
                <w:lang w:val="zh-CN"/>
              </w:rPr>
              <w:t>培育打造广西渔业特色品牌，积极争创国家农产品地理标志品牌等产品品牌。</w:t>
            </w:r>
          </w:p>
        </w:tc>
      </w:tr>
    </w:tbl>
    <w:p>
      <w:pPr>
        <w:spacing w:line="580" w:lineRule="exact"/>
        <w:ind w:firstLine="643"/>
        <w:rPr>
          <w:b/>
          <w:bCs/>
          <w:color w:val="000000"/>
        </w:rPr>
      </w:pPr>
    </w:p>
    <w:p>
      <w:pPr>
        <w:pStyle w:val="3"/>
        <w:keepNext w:val="0"/>
        <w:keepLines w:val="0"/>
        <w:widowControl w:val="0"/>
        <w:spacing w:line="580" w:lineRule="exact"/>
        <w:rPr>
          <w:rFonts w:ascii="Times New Roman" w:hAnsi="Times New Roman"/>
          <w:color w:val="000000"/>
        </w:rPr>
      </w:pPr>
      <w:bookmarkStart w:id="105" w:name="_Toc73632465"/>
      <w:bookmarkStart w:id="106" w:name="_Toc112791232"/>
      <w:bookmarkStart w:id="107" w:name="_Toc58667345"/>
      <w:r>
        <w:rPr>
          <w:rFonts w:hint="eastAsia" w:ascii="Times New Roman" w:hAnsi="Times New Roman"/>
          <w:color w:val="000000"/>
        </w:rPr>
        <w:t>八、全面深化发展外向型渔业</w:t>
      </w:r>
      <w:bookmarkEnd w:id="105"/>
      <w:bookmarkEnd w:id="106"/>
      <w:bookmarkEnd w:id="107"/>
    </w:p>
    <w:p>
      <w:pPr>
        <w:spacing w:line="580" w:lineRule="exact"/>
        <w:ind w:firstLine="643"/>
        <w:rPr>
          <w:color w:val="000000"/>
        </w:rPr>
      </w:pPr>
      <w:bookmarkStart w:id="108" w:name="_Toc73632466"/>
      <w:bookmarkStart w:id="109" w:name="_Toc72323648"/>
      <w:r>
        <w:rPr>
          <w:rFonts w:hint="eastAsia" w:eastAsia="楷体_GB2312"/>
          <w:b/>
          <w:bCs/>
          <w:color w:val="000000"/>
        </w:rPr>
        <w:t>推进海外水产养殖业发展</w:t>
      </w:r>
      <w:bookmarkEnd w:id="108"/>
      <w:bookmarkEnd w:id="109"/>
      <w:r>
        <w:rPr>
          <w:rFonts w:hint="eastAsia" w:eastAsia="楷体_GB2312"/>
          <w:b/>
          <w:bCs/>
          <w:color w:val="000000"/>
        </w:rPr>
        <w:t>。</w:t>
      </w:r>
      <w:r>
        <w:rPr>
          <w:rFonts w:hint="eastAsia"/>
          <w:color w:val="000000"/>
        </w:rPr>
        <w:t>充分利用广西海洋水产养殖的经验和技术，发挥海外土地、资源、劳力优势，引导企业通过租赁水域、援建养殖设施、开展技术合作等方式，在巩固前期建设成果的基础上，在东盟等一带一路沿线重点国家和地区建设养殖基地，发展水产养殖，到</w:t>
      </w:r>
      <w:r>
        <w:rPr>
          <w:color w:val="000000"/>
        </w:rPr>
        <w:t>2025</w:t>
      </w:r>
      <w:r>
        <w:rPr>
          <w:rFonts w:hint="eastAsia"/>
          <w:color w:val="000000"/>
        </w:rPr>
        <w:t>年，力争建成</w:t>
      </w:r>
      <w:r>
        <w:rPr>
          <w:color w:val="000000"/>
        </w:rPr>
        <w:t>1-2</w:t>
      </w:r>
      <w:r>
        <w:rPr>
          <w:rFonts w:hint="eastAsia"/>
          <w:color w:val="000000"/>
        </w:rPr>
        <w:t>个海外养殖基地。</w:t>
      </w:r>
    </w:p>
    <w:p>
      <w:pPr>
        <w:spacing w:line="580" w:lineRule="exact"/>
        <w:ind w:firstLine="643"/>
        <w:rPr>
          <w:color w:val="000000"/>
        </w:rPr>
      </w:pPr>
      <w:r>
        <w:rPr>
          <w:rFonts w:hint="eastAsia" w:eastAsia="楷体_GB2312"/>
          <w:b/>
          <w:bCs/>
          <w:color w:val="000000"/>
        </w:rPr>
        <w:t>建设供粤港澳大湾区水产基地。</w:t>
      </w:r>
      <w:r>
        <w:rPr>
          <w:rFonts w:hint="eastAsia"/>
          <w:color w:val="000000"/>
        </w:rPr>
        <w:t>加大对水产龙头企业的扶持力度，发展水产企业创新产业模式，做大做强现代渔业，把更多优质的水产品推向更广阔的粤港澳大湾区及西南地区市场，打造面向粤港澳大湾区、西南地区优质水产品供应基地。</w:t>
      </w:r>
    </w:p>
    <w:p>
      <w:pPr>
        <w:spacing w:line="580" w:lineRule="exact"/>
        <w:ind w:firstLine="643"/>
        <w:rPr>
          <w:color w:val="000000"/>
        </w:rPr>
      </w:pPr>
      <w:bookmarkStart w:id="110" w:name="_Toc72323649"/>
      <w:bookmarkStart w:id="111" w:name="_Toc73632467"/>
      <w:r>
        <w:rPr>
          <w:rFonts w:hint="eastAsia" w:eastAsia="楷体_GB2312"/>
          <w:b/>
          <w:bCs/>
          <w:color w:val="000000"/>
        </w:rPr>
        <w:t>支持建设外向型渔业综合基地</w:t>
      </w:r>
      <w:bookmarkEnd w:id="110"/>
      <w:bookmarkEnd w:id="111"/>
      <w:r>
        <w:rPr>
          <w:rFonts w:hint="eastAsia" w:eastAsia="楷体_GB2312"/>
          <w:b/>
          <w:bCs/>
          <w:color w:val="000000"/>
        </w:rPr>
        <w:t>。</w:t>
      </w:r>
      <w:r>
        <w:rPr>
          <w:rFonts w:hint="eastAsia"/>
          <w:color w:val="000000"/>
        </w:rPr>
        <w:t>力推中国（广西）</w:t>
      </w:r>
      <w:r>
        <w:rPr>
          <w:color w:val="000000"/>
        </w:rPr>
        <w:t>—</w:t>
      </w:r>
      <w:r>
        <w:rPr>
          <w:rFonts w:hint="eastAsia"/>
          <w:color w:val="000000"/>
        </w:rPr>
        <w:t>东盟海洋水产种业研发基地、毛里塔尼亚远洋渔业基地、中国（广西）</w:t>
      </w:r>
      <w:r>
        <w:rPr>
          <w:color w:val="000000"/>
        </w:rPr>
        <w:t>—</w:t>
      </w:r>
      <w:r>
        <w:rPr>
          <w:rFonts w:hint="eastAsia"/>
          <w:color w:val="000000"/>
        </w:rPr>
        <w:t>文莱渔业合作示范区等项目建设完善，加快产业园建设步伐，支持打造水产养殖、加工、储运、观光多元化发展的渔业小镇。指导远洋渔业企业申报建设远洋渔船国际渔业资源开发利用补助项目。引导远洋渔业企业依法依规开展捕捞活动。</w:t>
      </w:r>
    </w:p>
    <w:p>
      <w:pPr>
        <w:widowControl w:val="0"/>
        <w:spacing w:line="580" w:lineRule="exact"/>
        <w:ind w:firstLine="640"/>
        <w:rPr>
          <w:color w:val="000000"/>
        </w:rPr>
      </w:pPr>
    </w:p>
    <w:p>
      <w:pPr>
        <w:pStyle w:val="3"/>
        <w:keepNext w:val="0"/>
        <w:keepLines w:val="0"/>
        <w:widowControl w:val="0"/>
        <w:spacing w:line="580" w:lineRule="exact"/>
        <w:rPr>
          <w:rFonts w:ascii="Times New Roman" w:hAnsi="Times New Roman"/>
          <w:color w:val="000000"/>
        </w:rPr>
      </w:pPr>
      <w:bookmarkStart w:id="112" w:name="_Toc112791233"/>
      <w:bookmarkStart w:id="113" w:name="_Toc73632468"/>
      <w:bookmarkStart w:id="114" w:name="_Toc58667346"/>
      <w:r>
        <w:rPr>
          <w:rFonts w:hint="eastAsia" w:ascii="Times New Roman" w:hAnsi="Times New Roman"/>
          <w:color w:val="000000"/>
        </w:rPr>
        <w:t>九、强化渔业综合服务能力</w:t>
      </w:r>
      <w:bookmarkEnd w:id="112"/>
      <w:bookmarkEnd w:id="113"/>
      <w:bookmarkEnd w:id="114"/>
    </w:p>
    <w:p>
      <w:pPr>
        <w:widowControl w:val="0"/>
        <w:spacing w:line="580" w:lineRule="exact"/>
        <w:ind w:firstLine="643"/>
        <w:rPr>
          <w:bCs/>
          <w:color w:val="000000"/>
        </w:rPr>
      </w:pPr>
      <w:bookmarkStart w:id="115" w:name="_Toc72323651"/>
      <w:bookmarkStart w:id="116" w:name="_Toc58667347"/>
      <w:bookmarkStart w:id="117" w:name="_Toc73632469"/>
      <w:r>
        <w:rPr>
          <w:rFonts w:hint="eastAsia" w:eastAsia="楷体_GB2312"/>
          <w:b/>
          <w:bCs/>
          <w:color w:val="000000"/>
        </w:rPr>
        <w:t>推进养殖证制度和水产苗种生产许可证制度建设。</w:t>
      </w:r>
      <w:r>
        <w:rPr>
          <w:rFonts w:hint="eastAsia"/>
          <w:bCs/>
          <w:color w:val="000000"/>
        </w:rPr>
        <w:t>严格实施养殖水域滩涂规划，依法核发水域滩涂养殖证和水产苗种生产许可证，依照养殖规划科学确定养殖功能区的养殖模式、养殖品种、养殖规模和养殖密度，保护良好的养殖生态环境。</w:t>
      </w:r>
      <w:bookmarkEnd w:id="115"/>
      <w:bookmarkEnd w:id="116"/>
      <w:bookmarkEnd w:id="117"/>
      <w:r>
        <w:rPr>
          <w:bCs/>
          <w:color w:val="000000"/>
        </w:rPr>
        <w:t xml:space="preserve">  </w:t>
      </w:r>
    </w:p>
    <w:p>
      <w:pPr>
        <w:widowControl w:val="0"/>
        <w:spacing w:line="580" w:lineRule="exact"/>
        <w:ind w:firstLine="643"/>
        <w:rPr>
          <w:color w:val="000000"/>
        </w:rPr>
      </w:pPr>
      <w:r>
        <w:rPr>
          <w:rFonts w:hint="eastAsia" w:eastAsia="楷体_GB2312"/>
          <w:b/>
          <w:bCs/>
          <w:color w:val="000000"/>
        </w:rPr>
        <w:t>推进养殖生产信息化建设。</w:t>
      </w:r>
      <w:r>
        <w:rPr>
          <w:rFonts w:hint="eastAsia"/>
          <w:color w:val="000000"/>
        </w:rPr>
        <w:t>加快推进水产苗种生产许可证及生产管理、水域滩涂养殖证管理、水产生态健康养殖生产管理、休闲渔业示范基地管理、渔情信息采集、渔业环境监测、水产品质量安全监管、水生动物疫病防控等信息系统建设，充分利用现代信息技术和装备，不断提升水产养殖生产及相关产业管理的信息化水平。</w:t>
      </w:r>
    </w:p>
    <w:p>
      <w:pPr>
        <w:spacing w:line="580" w:lineRule="exact"/>
        <w:ind w:firstLine="643" w:firstLineChars="0"/>
        <w:rPr>
          <w:color w:val="000000"/>
        </w:rPr>
      </w:pPr>
      <w:bookmarkStart w:id="118" w:name="_Toc73632470"/>
      <w:bookmarkStart w:id="119" w:name="_Toc58667348"/>
      <w:bookmarkStart w:id="120" w:name="_Toc72323652"/>
      <w:r>
        <w:rPr>
          <w:rFonts w:hint="eastAsia" w:eastAsia="楷体_GB2312"/>
          <w:b/>
          <w:bCs/>
          <w:color w:val="000000"/>
        </w:rPr>
        <w:t>巩固渔业生态保护能力</w:t>
      </w:r>
      <w:bookmarkEnd w:id="118"/>
      <w:bookmarkEnd w:id="119"/>
      <w:bookmarkEnd w:id="120"/>
      <w:r>
        <w:rPr>
          <w:rFonts w:hint="eastAsia" w:eastAsia="楷体_GB2312"/>
          <w:b/>
          <w:bCs/>
          <w:color w:val="000000"/>
        </w:rPr>
        <w:t>。</w:t>
      </w:r>
      <w:r>
        <w:rPr>
          <w:rFonts w:hint="eastAsia"/>
          <w:color w:val="000000"/>
        </w:rPr>
        <w:t>加强渔业自然保护区、水产种质资源保护区保护力度。支持沿海三市建设国家级海洋牧场示范区，探索适宜的增养殖目标品种，推广下层利用鱼礁养殖鱼虾蟹、上层发展浮筏式吊养贝类的立体生态混养模式。支持在重要渔业水域和生态脆弱水域地区加大生态多样性修复，建设</w:t>
      </w:r>
      <w:r>
        <w:rPr>
          <w:color w:val="000000"/>
        </w:rPr>
        <w:t>“</w:t>
      </w:r>
      <w:r>
        <w:rPr>
          <w:rFonts w:hint="eastAsia"/>
          <w:color w:val="000000"/>
        </w:rPr>
        <w:t>美丽蓝湾</w:t>
      </w:r>
      <w:r>
        <w:rPr>
          <w:color w:val="000000"/>
        </w:rPr>
        <w:t>”</w:t>
      </w:r>
      <w:r>
        <w:rPr>
          <w:rFonts w:hint="eastAsia"/>
          <w:color w:val="000000"/>
        </w:rPr>
        <w:t>。加强渔业生态环境整治。</w:t>
      </w:r>
    </w:p>
    <w:p>
      <w:pPr>
        <w:spacing w:line="580" w:lineRule="exact"/>
        <w:ind w:firstLine="643"/>
        <w:rPr>
          <w:color w:val="000000"/>
        </w:rPr>
      </w:pPr>
      <w:bookmarkStart w:id="121" w:name="_Toc58667349"/>
      <w:bookmarkStart w:id="122" w:name="_Toc72323653"/>
      <w:bookmarkStart w:id="123" w:name="_Toc73632471"/>
      <w:r>
        <w:rPr>
          <w:rFonts w:hint="eastAsia" w:eastAsia="楷体_GB2312"/>
          <w:b/>
          <w:bCs/>
          <w:color w:val="000000"/>
        </w:rPr>
        <w:t>强化水产品质量安全监管</w:t>
      </w:r>
      <w:bookmarkEnd w:id="121"/>
      <w:bookmarkEnd w:id="122"/>
      <w:bookmarkEnd w:id="123"/>
      <w:r>
        <w:rPr>
          <w:rFonts w:hint="eastAsia" w:eastAsia="楷体_GB2312"/>
          <w:b/>
          <w:bCs/>
          <w:color w:val="000000"/>
        </w:rPr>
        <w:t>。</w:t>
      </w:r>
      <w:r>
        <w:rPr>
          <w:rFonts w:hint="eastAsia"/>
          <w:color w:val="000000"/>
        </w:rPr>
        <w:t>持续推进水产品监管体系和追溯体系建设，加大抽检覆盖率，实施水产品</w:t>
      </w:r>
      <w:r>
        <w:rPr>
          <w:color w:val="000000"/>
        </w:rPr>
        <w:t>“</w:t>
      </w:r>
      <w:r>
        <w:rPr>
          <w:rFonts w:hint="eastAsia"/>
          <w:color w:val="000000"/>
        </w:rPr>
        <w:t>产地准出、市场准入、质量追溯</w:t>
      </w:r>
      <w:r>
        <w:rPr>
          <w:color w:val="000000"/>
        </w:rPr>
        <w:t>”</w:t>
      </w:r>
      <w:r>
        <w:rPr>
          <w:rFonts w:hint="eastAsia"/>
          <w:color w:val="000000"/>
        </w:rPr>
        <w:t>制度；切实落实生产经营者质量安全主体责任，</w:t>
      </w:r>
      <w:r>
        <w:rPr>
          <w:rFonts w:hint="eastAsia"/>
          <w:color w:val="000000"/>
          <w:shd w:val="clear" w:color="auto" w:fill="FFFFFF"/>
        </w:rPr>
        <w:t>指导渔民、远洋企业做好疫情防控，确保人员健康、生产有序。</w:t>
      </w:r>
      <w:r>
        <w:rPr>
          <w:rFonts w:hint="eastAsia"/>
          <w:color w:val="000000"/>
        </w:rPr>
        <w:t>加强水产品质量安全执法，</w:t>
      </w:r>
      <w:r>
        <w:rPr>
          <w:rFonts w:hint="eastAsia"/>
          <w:color w:val="000000"/>
          <w:shd w:val="clear" w:color="auto" w:fill="FFFFFF"/>
        </w:rPr>
        <w:t>实施渔业安全生产工作，持续推进全区渔业安全生产专项整治行动，抓好渔业安全风险防控。依法开展水产苗种检疫、水生动物疫病防控、产品安全和渔药监督等行政执法工作</w:t>
      </w:r>
      <w:r>
        <w:rPr>
          <w:rFonts w:hint="eastAsia"/>
          <w:color w:val="000000"/>
        </w:rPr>
        <w:t>，提高科学执法和规范执法水平。</w:t>
      </w:r>
    </w:p>
    <w:p>
      <w:pPr>
        <w:widowControl w:val="0"/>
        <w:spacing w:line="580" w:lineRule="exact"/>
        <w:ind w:firstLine="643"/>
        <w:rPr>
          <w:color w:val="000000"/>
        </w:rPr>
      </w:pPr>
      <w:r>
        <w:rPr>
          <w:rFonts w:hint="eastAsia" w:eastAsia="楷体_GB2312"/>
          <w:b/>
          <w:bCs/>
          <w:color w:val="000000"/>
        </w:rPr>
        <w:t>加强疫病监测预警和产地检疫。</w:t>
      </w:r>
      <w:r>
        <w:rPr>
          <w:rFonts w:hint="eastAsia"/>
          <w:color w:val="000000"/>
        </w:rPr>
        <w:t>加大重大水生动物疫病监测预警覆盖率，提高预警水平，加强水产苗种产地检疫和执法监督，实现水产品质量安全监管端口前移。联合畜牧、兽医等部门，开展水产养殖用兽药、饲料和饲料添加剂相关违法行为专项整治，严格落实属地管理责任和企业主体责任，加强水产养殖用投入品生产、经营和施用环节的监管。建立水产养殖企业监管名录，重点排查整治水产养殖过程中违法购买、贮存、使用禁用药品等违法违规行为，监督养殖企业严格执行休药期制度，加大对违法案件查处力度，持续促进水产养殖生产用药减量。</w:t>
      </w:r>
    </w:p>
    <w:p>
      <w:pPr>
        <w:widowControl w:val="0"/>
        <w:spacing w:line="580" w:lineRule="exact"/>
        <w:ind w:firstLine="640"/>
        <w:rPr>
          <w:color w:val="000000"/>
        </w:rPr>
      </w:pPr>
    </w:p>
    <w:tbl>
      <w:tblPr>
        <w:tblStyle w:val="2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8926" w:type="dxa"/>
            <w:vAlign w:val="center"/>
          </w:tcPr>
          <w:p>
            <w:pPr>
              <w:widowControl w:val="0"/>
              <w:autoSpaceDE w:val="0"/>
              <w:autoSpaceDN w:val="0"/>
              <w:adjustRightInd w:val="0"/>
              <w:snapToGrid w:val="0"/>
              <w:spacing w:line="580" w:lineRule="exact"/>
              <w:ind w:firstLine="0" w:firstLineChars="0"/>
              <w:jc w:val="center"/>
              <w:rPr>
                <w:rFonts w:eastAsia="黑体"/>
                <w:bCs/>
                <w:color w:val="000000"/>
                <w:kern w:val="0"/>
                <w:sz w:val="28"/>
                <w:szCs w:val="28"/>
                <w:lang w:val="zh-CN"/>
              </w:rPr>
            </w:pPr>
            <w:r>
              <w:rPr>
                <w:rFonts w:hint="eastAsia" w:eastAsia="黑体"/>
                <w:bCs/>
                <w:color w:val="000000"/>
                <w:kern w:val="0"/>
                <w:sz w:val="28"/>
                <w:szCs w:val="28"/>
                <w:lang w:val="zh-CN"/>
              </w:rPr>
              <w:t>专栏</w:t>
            </w:r>
            <w:r>
              <w:rPr>
                <w:rFonts w:eastAsia="黑体"/>
                <w:bCs/>
                <w:color w:val="000000"/>
                <w:kern w:val="0"/>
                <w:sz w:val="28"/>
                <w:szCs w:val="28"/>
              </w:rPr>
              <w:t xml:space="preserve">7 </w:t>
            </w:r>
            <w:r>
              <w:rPr>
                <w:rFonts w:hint="eastAsia" w:eastAsia="黑体"/>
                <w:bCs/>
                <w:color w:val="000000"/>
                <w:kern w:val="0"/>
                <w:sz w:val="28"/>
                <w:szCs w:val="28"/>
                <w:lang w:val="zh-CN"/>
              </w:rPr>
              <w:t>渔业风险防控能力提升工程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8926" w:type="dxa"/>
            <w:vAlign w:val="center"/>
          </w:tcPr>
          <w:p>
            <w:pPr>
              <w:widowControl w:val="0"/>
              <w:autoSpaceDE w:val="0"/>
              <w:autoSpaceDN w:val="0"/>
              <w:adjustRightInd w:val="0"/>
              <w:snapToGrid w:val="0"/>
              <w:spacing w:line="500" w:lineRule="exact"/>
              <w:ind w:firstLine="562"/>
              <w:rPr>
                <w:bCs/>
                <w:color w:val="000000"/>
                <w:kern w:val="0"/>
                <w:sz w:val="28"/>
                <w:szCs w:val="28"/>
                <w:lang w:val="zh-CN"/>
              </w:rPr>
            </w:pPr>
            <w:r>
              <w:rPr>
                <w:rFonts w:hint="eastAsia" w:eastAsia="楷体_GB2312"/>
                <w:b/>
                <w:color w:val="000000"/>
                <w:kern w:val="0"/>
                <w:sz w:val="28"/>
                <w:szCs w:val="28"/>
                <w:lang w:val="zh-CN"/>
              </w:rPr>
              <w:t>渔业资源保护工程：</w:t>
            </w:r>
            <w:r>
              <w:rPr>
                <w:rFonts w:hint="eastAsia"/>
                <w:bCs/>
                <w:color w:val="000000"/>
                <w:kern w:val="0"/>
                <w:sz w:val="28"/>
                <w:szCs w:val="28"/>
                <w:lang w:val="zh-CN"/>
              </w:rPr>
              <w:t>提高渔业资源调查能力，组织实施重点水域渔业资源调查监测。构建渔业生态环境大数据系统，提升水生生物保护技术能力。</w:t>
            </w:r>
          </w:p>
          <w:p>
            <w:pPr>
              <w:widowControl w:val="0"/>
              <w:autoSpaceDE w:val="0"/>
              <w:autoSpaceDN w:val="0"/>
              <w:adjustRightInd w:val="0"/>
              <w:snapToGrid w:val="0"/>
              <w:spacing w:line="500" w:lineRule="exact"/>
              <w:ind w:firstLine="562"/>
              <w:rPr>
                <w:bCs/>
                <w:color w:val="000000"/>
                <w:kern w:val="0"/>
                <w:sz w:val="28"/>
                <w:szCs w:val="28"/>
                <w:lang w:val="zh-CN"/>
              </w:rPr>
            </w:pPr>
            <w:r>
              <w:rPr>
                <w:rFonts w:hint="eastAsia" w:eastAsia="楷体_GB2312"/>
                <w:b/>
                <w:color w:val="000000"/>
                <w:kern w:val="0"/>
                <w:sz w:val="28"/>
                <w:szCs w:val="28"/>
                <w:lang w:val="zh-CN"/>
              </w:rPr>
              <w:t>渔业安全生产保障工程：</w:t>
            </w:r>
            <w:r>
              <w:rPr>
                <w:rFonts w:hint="eastAsia"/>
                <w:bCs/>
                <w:color w:val="000000"/>
                <w:kern w:val="0"/>
                <w:sz w:val="28"/>
                <w:szCs w:val="28"/>
                <w:lang w:val="zh-CN"/>
              </w:rPr>
              <w:t>健全水产品监管体系和追溯体系，开展平安渔业示范创建。完善水生动物疫病防控体系，建设一批水生动物疫病防控监测中心。</w:t>
            </w:r>
          </w:p>
        </w:tc>
      </w:tr>
    </w:tbl>
    <w:p>
      <w:pPr>
        <w:widowControl w:val="0"/>
        <w:spacing w:line="580" w:lineRule="exact"/>
        <w:ind w:firstLine="640"/>
        <w:rPr>
          <w:color w:val="000000"/>
        </w:rPr>
      </w:pPr>
    </w:p>
    <w:p>
      <w:pPr>
        <w:pStyle w:val="3"/>
        <w:keepNext w:val="0"/>
        <w:keepLines w:val="0"/>
        <w:widowControl w:val="0"/>
        <w:spacing w:line="580" w:lineRule="exact"/>
        <w:rPr>
          <w:rFonts w:ascii="Times New Roman" w:hAnsi="Times New Roman"/>
          <w:color w:val="000000"/>
        </w:rPr>
      </w:pPr>
      <w:bookmarkStart w:id="124" w:name="_Toc73632474"/>
      <w:bookmarkStart w:id="125" w:name="_Toc58667351"/>
      <w:bookmarkStart w:id="126" w:name="_Toc112791234"/>
      <w:r>
        <w:rPr>
          <w:rFonts w:hint="eastAsia" w:ascii="Times New Roman" w:hAnsi="Times New Roman"/>
          <w:color w:val="000000"/>
        </w:rPr>
        <w:t>十、完善养殖生产经营体系</w:t>
      </w:r>
      <w:bookmarkEnd w:id="124"/>
      <w:bookmarkEnd w:id="125"/>
      <w:bookmarkEnd w:id="126"/>
    </w:p>
    <w:p>
      <w:pPr>
        <w:widowControl w:val="0"/>
        <w:spacing w:line="580" w:lineRule="exact"/>
        <w:ind w:firstLine="640"/>
        <w:rPr>
          <w:color w:val="000000"/>
        </w:rPr>
      </w:pPr>
      <w:r>
        <w:rPr>
          <w:rFonts w:hint="eastAsia"/>
          <w:color w:val="000000"/>
        </w:rPr>
        <w:t>积极协调落实各级财政项目资金倾斜支持政策，培育、支持一批养殖大户、家庭渔场、专业合作社、水产养殖和加工及流通龙头企业等新型经营主体。通过实施有关渔业项目，发展多种形式的适度规模经营，做大做强渔业产业；引导各种新型经营主体培育各自特色水产品牌，提高产品市场竞争力和影响力；支持各种新型经营主体开展水产品展示展销活动。</w:t>
      </w:r>
      <w:r>
        <w:rPr>
          <w:color w:val="000000"/>
        </w:rPr>
        <w:br w:type="page"/>
      </w:r>
    </w:p>
    <w:bookmarkEnd w:id="69"/>
    <w:bookmarkEnd w:id="70"/>
    <w:p>
      <w:pPr>
        <w:widowControl w:val="0"/>
        <w:ind w:firstLine="640"/>
        <w:rPr>
          <w:rFonts w:eastAsia="宋体"/>
          <w:color w:val="000000"/>
          <w:szCs w:val="32"/>
          <w:shd w:val="clear" w:color="auto" w:fill="FFFFFF"/>
        </w:rPr>
      </w:pPr>
      <w:bookmarkStart w:id="127" w:name="_Toc84608528"/>
    </w:p>
    <w:bookmarkEnd w:id="127"/>
    <w:p>
      <w:pPr>
        <w:pStyle w:val="2"/>
        <w:keepNext w:val="0"/>
        <w:keepLines w:val="0"/>
        <w:widowControl w:val="0"/>
        <w:rPr>
          <w:rFonts w:eastAsia="方正小标宋简体"/>
          <w:color w:val="000000"/>
        </w:rPr>
      </w:pPr>
      <w:bookmarkStart w:id="128" w:name="_Toc112791235"/>
      <w:r>
        <w:rPr>
          <w:rFonts w:hint="eastAsia" w:eastAsia="方正小标宋简体"/>
          <w:color w:val="000000"/>
        </w:rPr>
        <w:t>第五章</w:t>
      </w:r>
      <w:r>
        <w:rPr>
          <w:rFonts w:eastAsia="方正小标宋简体"/>
          <w:color w:val="000000"/>
        </w:rPr>
        <w:t xml:space="preserve">  </w:t>
      </w:r>
      <w:r>
        <w:rPr>
          <w:rFonts w:hint="eastAsia" w:eastAsia="方正小标宋简体"/>
          <w:color w:val="000000"/>
        </w:rPr>
        <w:t>保障措施</w:t>
      </w:r>
      <w:bookmarkEnd w:id="128"/>
    </w:p>
    <w:p>
      <w:pPr>
        <w:widowControl w:val="0"/>
        <w:ind w:firstLine="640"/>
        <w:rPr>
          <w:color w:val="000000"/>
        </w:rPr>
      </w:pPr>
    </w:p>
    <w:p>
      <w:pPr>
        <w:pStyle w:val="3"/>
        <w:keepNext w:val="0"/>
        <w:keepLines w:val="0"/>
        <w:widowControl w:val="0"/>
        <w:rPr>
          <w:rFonts w:ascii="Times New Roman" w:hAnsi="Times New Roman"/>
          <w:color w:val="000000"/>
        </w:rPr>
      </w:pPr>
      <w:bookmarkStart w:id="129" w:name="_Toc112791236"/>
      <w:bookmarkStart w:id="130" w:name="_Toc73632487"/>
      <w:bookmarkStart w:id="131" w:name="_Toc58667364"/>
      <w:r>
        <w:rPr>
          <w:rFonts w:hint="eastAsia" w:ascii="Times New Roman" w:hAnsi="Times New Roman"/>
          <w:color w:val="000000"/>
        </w:rPr>
        <w:t>一、加强组织领导</w:t>
      </w:r>
      <w:bookmarkEnd w:id="129"/>
      <w:bookmarkEnd w:id="130"/>
      <w:bookmarkEnd w:id="131"/>
    </w:p>
    <w:p>
      <w:pPr>
        <w:widowControl w:val="0"/>
        <w:ind w:firstLine="640"/>
        <w:rPr>
          <w:color w:val="000000"/>
        </w:rPr>
      </w:pPr>
      <w:r>
        <w:rPr>
          <w:rFonts w:hint="eastAsia"/>
          <w:color w:val="000000"/>
          <w:szCs w:val="32"/>
        </w:rPr>
        <w:t>建立健全规划实施推进机制，发挥统筹协调推动的作用，落实国家和自治区层面有关政策，指导引领全区渔业高质量发展。各市、县（市、区）农业农村（渔业）主管部门研究出台、推动落实具体实施方案，把渔业高质量发展作为乡村振兴战略、经济和社会发展和生态文明的重要部分予以落实。强化考核监督</w:t>
      </w:r>
      <w:r>
        <w:rPr>
          <w:rFonts w:hint="eastAsia"/>
          <w:color w:val="000000"/>
        </w:rPr>
        <w:t>，协调有关部门密切配合，把各项措施落到实处，合力推进现代渔业高质量建设。</w:t>
      </w:r>
    </w:p>
    <w:p>
      <w:pPr>
        <w:widowControl w:val="0"/>
        <w:ind w:firstLine="640"/>
        <w:rPr>
          <w:color w:val="000000"/>
        </w:rPr>
      </w:pPr>
    </w:p>
    <w:p>
      <w:pPr>
        <w:pStyle w:val="3"/>
        <w:keepNext w:val="0"/>
        <w:keepLines w:val="0"/>
        <w:widowControl w:val="0"/>
        <w:rPr>
          <w:rFonts w:ascii="Times New Roman" w:hAnsi="Times New Roman"/>
          <w:color w:val="000000"/>
        </w:rPr>
      </w:pPr>
      <w:bookmarkStart w:id="132" w:name="_Toc58667365"/>
      <w:bookmarkStart w:id="133" w:name="_Toc73632488"/>
      <w:bookmarkStart w:id="134" w:name="_Toc112791237"/>
      <w:r>
        <w:rPr>
          <w:rFonts w:hint="eastAsia" w:ascii="Times New Roman" w:hAnsi="Times New Roman"/>
          <w:color w:val="000000"/>
        </w:rPr>
        <w:t>二、强化</w:t>
      </w:r>
      <w:bookmarkEnd w:id="132"/>
      <w:bookmarkEnd w:id="133"/>
      <w:r>
        <w:rPr>
          <w:rFonts w:hint="eastAsia" w:ascii="Times New Roman" w:hAnsi="Times New Roman"/>
          <w:color w:val="000000"/>
        </w:rPr>
        <w:t>政务保障</w:t>
      </w:r>
      <w:bookmarkEnd w:id="134"/>
    </w:p>
    <w:p>
      <w:pPr>
        <w:widowControl w:val="0"/>
        <w:ind w:firstLine="640"/>
        <w:rPr>
          <w:color w:val="000000"/>
          <w:shd w:val="clear" w:color="auto" w:fill="FFFFFF"/>
        </w:rPr>
      </w:pPr>
      <w:r>
        <w:rPr>
          <w:rFonts w:hint="eastAsia"/>
          <w:color w:val="000000"/>
          <w:szCs w:val="32"/>
        </w:rPr>
        <w:t>优化政务服务方式，规范政务服务流程，丰富政务服务应用功能，拓宽网办覆盖面，提升管理服务保障效能。</w:t>
      </w:r>
      <w:r>
        <w:rPr>
          <w:rFonts w:hint="eastAsia"/>
          <w:color w:val="000000"/>
          <w:shd w:val="clear" w:color="auto" w:fill="FFFFFF"/>
        </w:rPr>
        <w:t>推动现代渔业提质增效、转型升级的政策举措，优先支持和保障渔业种业、</w:t>
      </w:r>
      <w:r>
        <w:rPr>
          <w:rFonts w:hint="eastAsia"/>
          <w:color w:val="000000"/>
          <w:kern w:val="0"/>
          <w:szCs w:val="32"/>
          <w:lang w:val="zh-CN"/>
        </w:rPr>
        <w:t>重力式深水网箱</w:t>
      </w:r>
      <w:r>
        <w:rPr>
          <w:rFonts w:hint="eastAsia"/>
          <w:color w:val="000000"/>
          <w:shd w:val="clear" w:color="auto" w:fill="FFFFFF"/>
        </w:rPr>
        <w:t>养殖、水产健康生态养殖、海洋牧场、水产品预制菜建设等项目</w:t>
      </w:r>
      <w:r>
        <w:rPr>
          <w:rStyle w:val="49"/>
          <w:rFonts w:hint="eastAsia"/>
          <w:color w:val="000000"/>
          <w:szCs w:val="32"/>
        </w:rPr>
        <w:t>在金融、税筹、出口补贴、</w:t>
      </w:r>
      <w:r>
        <w:rPr>
          <w:rFonts w:hint="eastAsia"/>
          <w:color w:val="000000"/>
          <w:shd w:val="clear" w:color="auto" w:fill="FFFFFF"/>
        </w:rPr>
        <w:t>用地用海</w:t>
      </w:r>
      <w:r>
        <w:rPr>
          <w:rStyle w:val="49"/>
          <w:rFonts w:hint="eastAsia"/>
          <w:color w:val="000000"/>
          <w:szCs w:val="32"/>
        </w:rPr>
        <w:t>等方面依法依规给予扶持性政策。落实执行品牌水产品的法律法规，培育优良的市场竞争环境，严厉打击假冒伪劣产品。</w:t>
      </w:r>
      <w:r>
        <w:rPr>
          <w:rFonts w:hint="eastAsia"/>
          <w:color w:val="000000"/>
          <w:shd w:val="clear" w:color="auto" w:fill="FFFFFF"/>
        </w:rPr>
        <w:t>落实水产品质量安全管理条例、渔船安全生产管理办法、渔业捕捞许可管理办法等法规规章。落实水生生物资源养护管理、渔业资源总量管理、近海捕捞限额管理、渔业资源及生态补偿、水产种业与种苗管理。</w:t>
      </w:r>
      <w:bookmarkStart w:id="135" w:name="_Toc73632489"/>
      <w:bookmarkStart w:id="136" w:name="_Toc58667366"/>
    </w:p>
    <w:p>
      <w:pPr>
        <w:widowControl w:val="0"/>
        <w:ind w:firstLine="640"/>
        <w:rPr>
          <w:color w:val="000000"/>
          <w:shd w:val="clear" w:color="auto" w:fill="FFFFFF"/>
        </w:rPr>
      </w:pPr>
    </w:p>
    <w:p>
      <w:pPr>
        <w:pStyle w:val="3"/>
        <w:keepNext w:val="0"/>
        <w:keepLines w:val="0"/>
        <w:widowControl w:val="0"/>
        <w:rPr>
          <w:rFonts w:ascii="Times New Roman" w:hAnsi="Times New Roman"/>
          <w:color w:val="000000"/>
        </w:rPr>
      </w:pPr>
      <w:bookmarkStart w:id="137" w:name="_Toc112791238"/>
      <w:r>
        <w:rPr>
          <w:rFonts w:hint="eastAsia" w:ascii="Times New Roman" w:hAnsi="Times New Roman"/>
          <w:color w:val="000000"/>
        </w:rPr>
        <w:t>三、完善投入机制</w:t>
      </w:r>
      <w:bookmarkEnd w:id="135"/>
      <w:bookmarkEnd w:id="136"/>
      <w:bookmarkEnd w:id="137"/>
    </w:p>
    <w:p>
      <w:pPr>
        <w:widowControl w:val="0"/>
        <w:ind w:firstLine="640"/>
        <w:rPr>
          <w:color w:val="000000"/>
          <w:shd w:val="clear" w:color="auto" w:fill="FFFFFF"/>
        </w:rPr>
      </w:pPr>
      <w:r>
        <w:rPr>
          <w:rFonts w:hint="eastAsia"/>
          <w:color w:val="000000"/>
          <w:szCs w:val="32"/>
          <w:shd w:val="clear" w:color="auto" w:fill="FFFFFF"/>
        </w:rPr>
        <w:t>探索开展</w:t>
      </w:r>
      <w:r>
        <w:rPr>
          <w:rFonts w:hint="eastAsia"/>
          <w:color w:val="000000"/>
          <w:szCs w:val="32"/>
        </w:rPr>
        <w:t>渔业政策性保险试点，</w:t>
      </w:r>
      <w:r>
        <w:rPr>
          <w:rFonts w:hint="eastAsia"/>
          <w:color w:val="000000"/>
          <w:szCs w:val="32"/>
          <w:shd w:val="clear" w:color="auto" w:fill="FFFFFF"/>
        </w:rPr>
        <w:t>将更多水产养殖产品纳入政策性保险范围。协调金融部门，创新金融产品和服务方式，加强信贷支持，对</w:t>
      </w:r>
      <w:r>
        <w:rPr>
          <w:rFonts w:hint="eastAsia"/>
          <w:color w:val="000000"/>
          <w:shd w:val="clear" w:color="auto" w:fill="FFFFFF"/>
        </w:rPr>
        <w:t>符合条件的渔业贷款主体获得的</w:t>
      </w:r>
      <w:r>
        <w:rPr>
          <w:color w:val="000000"/>
          <w:shd w:val="clear" w:color="auto" w:fill="FFFFFF"/>
        </w:rPr>
        <w:t>“</w:t>
      </w:r>
      <w:r>
        <w:rPr>
          <w:rFonts w:hint="eastAsia"/>
          <w:color w:val="000000"/>
          <w:shd w:val="clear" w:color="auto" w:fill="FFFFFF"/>
        </w:rPr>
        <w:t>桂惠贷</w:t>
      </w:r>
      <w:r>
        <w:rPr>
          <w:color w:val="000000"/>
          <w:shd w:val="clear" w:color="auto" w:fill="FFFFFF"/>
        </w:rPr>
        <w:t>”</w:t>
      </w:r>
      <w:r>
        <w:rPr>
          <w:rFonts w:hint="eastAsia"/>
          <w:color w:val="000000"/>
          <w:shd w:val="clear" w:color="auto" w:fill="FFFFFF"/>
        </w:rPr>
        <w:t>给予贴息支持；通过广西综合金融服务平台等融资平台，为渔业</w:t>
      </w:r>
      <w:r>
        <w:rPr>
          <w:color w:val="000000"/>
          <w:shd w:val="clear" w:color="auto" w:fill="FFFFFF"/>
        </w:rPr>
        <w:t>“</w:t>
      </w:r>
      <w:r>
        <w:rPr>
          <w:rFonts w:hint="eastAsia"/>
          <w:color w:val="000000"/>
          <w:shd w:val="clear" w:color="auto" w:fill="FFFFFF"/>
        </w:rPr>
        <w:t>走出去</w:t>
      </w:r>
      <w:r>
        <w:rPr>
          <w:color w:val="000000"/>
          <w:shd w:val="clear" w:color="auto" w:fill="FFFFFF"/>
        </w:rPr>
        <w:t>”</w:t>
      </w:r>
      <w:r>
        <w:rPr>
          <w:rFonts w:hint="eastAsia"/>
          <w:color w:val="000000"/>
          <w:shd w:val="clear" w:color="auto" w:fill="FFFFFF"/>
        </w:rPr>
        <w:t>项目提供多元化金融服务；鼓励金融机构探索信贷担保、贴息、养殖权和捕捞权证抵押贷款等渔业融资新模式，引导和撬动金融资本发展渔业，完善渔民小额贷款和联保贷款等制度。各地围绕关键环节和短板，盘活存量、争取增量，加大财政投入。自治区加大资金筹措力度，统筹中央和自治区农业生产发展资金、渔业发展补助资金、自治区乡村振兴补助资金等加大对渔业的支持力度，重点支持渔业高质量发展。</w:t>
      </w:r>
    </w:p>
    <w:p>
      <w:pPr>
        <w:widowControl w:val="0"/>
        <w:ind w:firstLine="640"/>
        <w:rPr>
          <w:color w:val="000000"/>
          <w:shd w:val="clear" w:color="auto" w:fill="FFFFFF"/>
        </w:rPr>
      </w:pPr>
    </w:p>
    <w:p>
      <w:pPr>
        <w:pStyle w:val="3"/>
        <w:keepNext w:val="0"/>
        <w:keepLines w:val="0"/>
        <w:widowControl w:val="0"/>
        <w:spacing w:line="620" w:lineRule="exact"/>
        <w:rPr>
          <w:rFonts w:ascii="Times New Roman" w:hAnsi="Times New Roman"/>
          <w:color w:val="000000"/>
        </w:rPr>
      </w:pPr>
      <w:bookmarkStart w:id="138" w:name="_Toc112791239"/>
      <w:r>
        <w:rPr>
          <w:rFonts w:hint="eastAsia" w:ascii="Times New Roman" w:hAnsi="Times New Roman"/>
          <w:color w:val="000000"/>
        </w:rPr>
        <w:t>四、强化人才支撑</w:t>
      </w:r>
      <w:bookmarkEnd w:id="138"/>
    </w:p>
    <w:p>
      <w:pPr>
        <w:widowControl w:val="0"/>
        <w:spacing w:line="620" w:lineRule="exact"/>
        <w:ind w:firstLine="640"/>
        <w:rPr>
          <w:color w:val="000000"/>
          <w:shd w:val="clear" w:color="auto" w:fill="FFFFFF"/>
        </w:rPr>
      </w:pPr>
      <w:r>
        <w:rPr>
          <w:rFonts w:hint="eastAsia"/>
          <w:color w:val="000000"/>
          <w:shd w:val="clear" w:color="auto" w:fill="FFFFFF"/>
        </w:rPr>
        <w:t>引导高等院校加强与现代渔业发展相适应的学科专业建设，加快培养渔业技术型紧缺人才。</w:t>
      </w:r>
      <w:r>
        <w:rPr>
          <w:rFonts w:hint="eastAsia"/>
          <w:color w:val="000000"/>
          <w:szCs w:val="32"/>
        </w:rPr>
        <w:t>整合全区科研院所、高校和技术推广等渔业科研团队力量，积极引进国家级科研院所和高校分院落户广西。</w:t>
      </w:r>
      <w:r>
        <w:rPr>
          <w:rFonts w:hint="eastAsia"/>
          <w:color w:val="000000"/>
          <w:shd w:val="clear" w:color="auto" w:fill="FFFFFF"/>
        </w:rPr>
        <w:t>着重培育一批群众致富的带头人。</w:t>
      </w:r>
      <w:r>
        <w:rPr>
          <w:rStyle w:val="49"/>
          <w:rFonts w:hint="eastAsia"/>
          <w:color w:val="000000"/>
          <w:szCs w:val="32"/>
        </w:rPr>
        <w:t>创新服务指导方式，积极组织做好新型渔民培训、水产科技信息服务、水产新技术新模式推广应用等指导与服务工作。</w:t>
      </w:r>
      <w:r>
        <w:rPr>
          <w:rFonts w:hint="eastAsia"/>
          <w:color w:val="000000"/>
          <w:szCs w:val="32"/>
        </w:rPr>
        <w:t>创设政策，建立高校、科研院所与企业创新联盟，引导科研单位和企业参与各级各类渔业科研活动。</w:t>
      </w:r>
      <w:r>
        <w:rPr>
          <w:rFonts w:hint="eastAsia"/>
          <w:color w:val="000000"/>
          <w:shd w:val="clear" w:color="auto" w:fill="FFFFFF"/>
        </w:rPr>
        <w:t>支持创办科技示范基地，支持科研机构申报各级科技项目资金，开展渔业关键技术攻关。鼓励创办渔民专业合作社，提高基层渔业自我服务能力。</w:t>
      </w:r>
    </w:p>
    <w:p>
      <w:pPr>
        <w:widowControl w:val="0"/>
        <w:spacing w:line="620" w:lineRule="exact"/>
        <w:ind w:firstLine="640"/>
        <w:rPr>
          <w:color w:val="000000"/>
          <w:shd w:val="clear" w:color="auto" w:fill="FFFFFF"/>
        </w:rPr>
      </w:pPr>
    </w:p>
    <w:p>
      <w:pPr>
        <w:pStyle w:val="3"/>
        <w:keepNext w:val="0"/>
        <w:keepLines w:val="0"/>
        <w:widowControl w:val="0"/>
        <w:rPr>
          <w:rFonts w:ascii="Times New Roman" w:hAnsi="Times New Roman"/>
          <w:color w:val="000000"/>
        </w:rPr>
      </w:pPr>
      <w:bookmarkStart w:id="139" w:name="_Toc58667368"/>
      <w:bookmarkStart w:id="140" w:name="_Toc112791240"/>
      <w:bookmarkStart w:id="141" w:name="_Toc73632491"/>
      <w:r>
        <w:rPr>
          <w:rFonts w:hint="eastAsia" w:ascii="Times New Roman" w:hAnsi="Times New Roman"/>
          <w:color w:val="000000"/>
        </w:rPr>
        <w:t>五、实施监督评估</w:t>
      </w:r>
      <w:bookmarkEnd w:id="139"/>
      <w:bookmarkEnd w:id="140"/>
      <w:bookmarkEnd w:id="141"/>
    </w:p>
    <w:p>
      <w:pPr>
        <w:widowControl w:val="0"/>
        <w:ind w:firstLine="640"/>
        <w:rPr>
          <w:color w:val="000000"/>
          <w:shd w:val="clear" w:color="auto" w:fill="FFFFFF"/>
        </w:rPr>
        <w:sectPr>
          <w:pgSz w:w="11906" w:h="16838"/>
          <w:pgMar w:top="1440" w:right="1287" w:bottom="1440" w:left="1588" w:header="851" w:footer="992" w:gutter="0"/>
          <w:cols w:space="425" w:num="1"/>
          <w:docGrid w:type="lines" w:linePitch="435" w:charSpace="0"/>
        </w:sectPr>
      </w:pPr>
      <w:r>
        <w:rPr>
          <w:rFonts w:hint="eastAsia"/>
          <w:color w:val="000000"/>
          <w:shd w:val="clear" w:color="auto" w:fill="FFFFFF"/>
        </w:rPr>
        <w:t>自治区有关部门、地方政府和有关部门加强对渔业发展支持政策实施工作的分类指导和监督检查。加强社会监督，加大规划宣传力度，使公众了解广西现代渔业发展方向，调动渔业从业者积极性，提高各方面对渔业的关注度，共同推动现代渔业高质量发展。</w:t>
      </w:r>
    </w:p>
    <w:p>
      <w:pPr>
        <w:pStyle w:val="2"/>
        <w:jc w:val="left"/>
        <w:rPr>
          <w:rFonts w:eastAsia="方正小标宋简体" w:cs="宋体"/>
        </w:rPr>
      </w:pPr>
      <w:bookmarkStart w:id="142" w:name="_Toc112791241"/>
      <w:r>
        <w:rPr>
          <w:rFonts w:hint="eastAsia" w:eastAsia="方正小标宋简体" w:cs="宋体"/>
        </w:rPr>
        <w:t>附图</w:t>
      </w:r>
      <w:bookmarkEnd w:id="142"/>
    </w:p>
    <w:p>
      <w:pPr>
        <w:spacing w:line="240" w:lineRule="auto"/>
        <w:ind w:firstLine="0" w:firstLineChars="0"/>
        <w:jc w:val="center"/>
      </w:pPr>
      <w:r>
        <w:drawing>
          <wp:inline distT="0" distB="0" distL="0" distR="0">
            <wp:extent cx="7181850" cy="5086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181850" cy="5086350"/>
                    </a:xfrm>
                    <a:prstGeom prst="rect">
                      <a:avLst/>
                    </a:prstGeom>
                    <a:noFill/>
                    <a:ln>
                      <a:noFill/>
                    </a:ln>
                  </pic:spPr>
                </pic:pic>
              </a:graphicData>
            </a:graphic>
          </wp:inline>
        </w:drawing>
      </w:r>
    </w:p>
    <w:p>
      <w:pPr>
        <w:spacing w:line="240" w:lineRule="auto"/>
        <w:ind w:firstLine="0" w:firstLineChars="0"/>
        <w:jc w:val="center"/>
      </w:pPr>
      <w:r>
        <w:drawing>
          <wp:inline distT="0" distB="0" distL="0" distR="0">
            <wp:extent cx="8115300" cy="5734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115300" cy="5734050"/>
                    </a:xfrm>
                    <a:prstGeom prst="rect">
                      <a:avLst/>
                    </a:prstGeom>
                    <a:noFill/>
                    <a:ln>
                      <a:noFill/>
                    </a:ln>
                  </pic:spPr>
                </pic:pic>
              </a:graphicData>
            </a:graphic>
          </wp:inline>
        </w:drawing>
      </w:r>
      <w:r>
        <w:drawing>
          <wp:inline distT="0" distB="0" distL="0" distR="0">
            <wp:extent cx="8115300" cy="5734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15300" cy="5734050"/>
                    </a:xfrm>
                    <a:prstGeom prst="rect">
                      <a:avLst/>
                    </a:prstGeom>
                    <a:noFill/>
                    <a:ln>
                      <a:noFill/>
                    </a:ln>
                  </pic:spPr>
                </pic:pic>
              </a:graphicData>
            </a:graphic>
          </wp:inline>
        </w:drawing>
      </w:r>
      <w:r>
        <w:drawing>
          <wp:inline distT="0" distB="0" distL="0" distR="0">
            <wp:extent cx="8115300" cy="5734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115300" cy="5734050"/>
                    </a:xfrm>
                    <a:prstGeom prst="rect">
                      <a:avLst/>
                    </a:prstGeom>
                    <a:noFill/>
                    <a:ln>
                      <a:noFill/>
                    </a:ln>
                  </pic:spPr>
                </pic:pic>
              </a:graphicData>
            </a:graphic>
          </wp:inline>
        </w:drawing>
      </w:r>
      <w:r>
        <w:drawing>
          <wp:inline distT="0" distB="0" distL="0" distR="0">
            <wp:extent cx="8115300" cy="573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115300" cy="5734050"/>
                    </a:xfrm>
                    <a:prstGeom prst="rect">
                      <a:avLst/>
                    </a:prstGeom>
                    <a:noFill/>
                    <a:ln>
                      <a:noFill/>
                    </a:ln>
                  </pic:spPr>
                </pic:pic>
              </a:graphicData>
            </a:graphic>
          </wp:inline>
        </w:drawing>
      </w:r>
      <w:r>
        <w:t xml:space="preserve"> </w:t>
      </w:r>
      <w:r>
        <w:drawing>
          <wp:inline distT="0" distB="0" distL="0" distR="0">
            <wp:extent cx="8115300" cy="5734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15300" cy="5734050"/>
                    </a:xfrm>
                    <a:prstGeom prst="rect">
                      <a:avLst/>
                    </a:prstGeom>
                    <a:noFill/>
                    <a:ln>
                      <a:noFill/>
                    </a:ln>
                  </pic:spPr>
                </pic:pic>
              </a:graphicData>
            </a:graphic>
          </wp:inline>
        </w:drawing>
      </w:r>
    </w:p>
    <w:sectPr>
      <w:pgSz w:w="16838" w:h="11906" w:orient="landscape"/>
      <w:pgMar w:top="1588" w:right="1440" w:bottom="1287" w:left="144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Light">
    <w:altName w:val="Arial Unicode MS"/>
    <w:panose1 w:val="00000000000000000000"/>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Fang Song">
    <w:altName w:val="微软雅黑"/>
    <w:panose1 w:val="00000000000000000000"/>
    <w:charset w:val="86"/>
    <w:family w:val="modern"/>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56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tLeast"/>
      <w:ind w:firstLine="0" w:firstLineChars="0"/>
      <w:jc w:val="right"/>
      <w:rPr>
        <w:sz w:val="32"/>
        <w:szCs w:val="32"/>
      </w:rPr>
    </w:pPr>
    <w:r>
      <w:rPr>
        <w:sz w:val="32"/>
        <w:szCs w:val="32"/>
      </w:rPr>
      <w:t xml:space="preserve">— </w:t>
    </w:r>
    <w:r>
      <w:rPr>
        <w:sz w:val="32"/>
        <w:szCs w:val="32"/>
      </w:rPr>
      <w:fldChar w:fldCharType="begin"/>
    </w:r>
    <w:r>
      <w:rPr>
        <w:sz w:val="32"/>
        <w:szCs w:val="32"/>
      </w:rPr>
      <w:instrText xml:space="preserve">PAGE   \* MERGEFORMAT</w:instrText>
    </w:r>
    <w:r>
      <w:rPr>
        <w:sz w:val="32"/>
        <w:szCs w:val="32"/>
      </w:rPr>
      <w:fldChar w:fldCharType="separate"/>
    </w:r>
    <w:r>
      <w:rPr>
        <w:sz w:val="32"/>
        <w:szCs w:val="32"/>
      </w:rPr>
      <w:t>1</w:t>
    </w:r>
    <w:r>
      <w:rPr>
        <w:sz w:val="32"/>
        <w:szCs w:val="32"/>
      </w:rPr>
      <w:fldChar w:fldCharType="end"/>
    </w:r>
    <w:r>
      <w:rPr>
        <w:sz w:val="32"/>
        <w:szCs w:val="3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rPr>
        <w:sz w:val="32"/>
        <w:szCs w:val="32"/>
      </w:rPr>
    </w:pPr>
    <w:r>
      <w:rPr>
        <w:sz w:val="32"/>
        <w:szCs w:val="32"/>
      </w:rPr>
      <w:t xml:space="preserve">— </w:t>
    </w:r>
    <w:r>
      <w:rPr>
        <w:sz w:val="32"/>
        <w:szCs w:val="32"/>
      </w:rPr>
      <w:fldChar w:fldCharType="begin"/>
    </w:r>
    <w:r>
      <w:rPr>
        <w:sz w:val="32"/>
        <w:szCs w:val="32"/>
      </w:rPr>
      <w:instrText xml:space="preserve">PAGE   \* MERGEFORMAT</w:instrText>
    </w:r>
    <w:r>
      <w:rPr>
        <w:sz w:val="32"/>
        <w:szCs w:val="32"/>
      </w:rPr>
      <w:fldChar w:fldCharType="separate"/>
    </w:r>
    <w:r>
      <w:rPr>
        <w:sz w:val="32"/>
        <w:szCs w:val="32"/>
      </w:rPr>
      <w:t>2</w:t>
    </w:r>
    <w:r>
      <w:rPr>
        <w:sz w:val="32"/>
        <w:szCs w:val="32"/>
      </w:rPr>
      <w:fldChar w:fldCharType="end"/>
    </w:r>
    <w:r>
      <w:rPr>
        <w:sz w:val="32"/>
        <w:szCs w:val="3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tLeast"/>
      <w:ind w:firstLine="0" w:firstLineChars="0"/>
      <w:jc w:val="right"/>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3</w:t>
    </w:r>
    <w:r>
      <w:rPr>
        <w:sz w:val="28"/>
        <w:szCs w:val="28"/>
      </w:rPr>
      <w:fldChar w:fldCharType="end"/>
    </w:r>
    <w:r>
      <w:rPr>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rPr>
        <w:sz w:val="30"/>
        <w:szCs w:val="30"/>
      </w:rPr>
    </w:pPr>
    <w:r>
      <w:rPr>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rPr>
      <w:t>2</w:t>
    </w:r>
    <w:r>
      <w:rPr>
        <w:sz w:val="30"/>
        <w:szCs w:val="30"/>
      </w:rPr>
      <w:fldChar w:fldCharType="end"/>
    </w:r>
    <w:r>
      <w:rPr>
        <w:sz w:val="30"/>
        <w:szCs w:val="3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1MTkyYTlhYWMwMzg3NWYyYWQwZjNhODkzY2Q2NGUifQ=="/>
  </w:docVars>
  <w:rsids>
    <w:rsidRoot w:val="00A15176"/>
    <w:rsid w:val="001C35C8"/>
    <w:rsid w:val="002C054B"/>
    <w:rsid w:val="00381A03"/>
    <w:rsid w:val="00425AD2"/>
    <w:rsid w:val="00490515"/>
    <w:rsid w:val="00582F3E"/>
    <w:rsid w:val="005C6255"/>
    <w:rsid w:val="0080005E"/>
    <w:rsid w:val="00A15176"/>
    <w:rsid w:val="211967CC"/>
    <w:rsid w:val="40F41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600" w:lineRule="exact"/>
      <w:ind w:firstLine="200" w:firstLineChars="20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34"/>
    <w:qFormat/>
    <w:uiPriority w:val="9"/>
    <w:pPr>
      <w:keepNext/>
      <w:keepLines/>
      <w:ind w:firstLine="0" w:firstLineChars="0"/>
      <w:jc w:val="center"/>
      <w:outlineLvl w:val="0"/>
    </w:pPr>
    <w:rPr>
      <w:rFonts w:eastAsia="方正小标宋_GBK"/>
      <w:bCs/>
      <w:kern w:val="44"/>
      <w:sz w:val="36"/>
      <w:szCs w:val="44"/>
    </w:rPr>
  </w:style>
  <w:style w:type="paragraph" w:styleId="3">
    <w:name w:val="heading 2"/>
    <w:basedOn w:val="1"/>
    <w:next w:val="1"/>
    <w:link w:val="35"/>
    <w:unhideWhenUsed/>
    <w:qFormat/>
    <w:uiPriority w:val="9"/>
    <w:pPr>
      <w:keepNext/>
      <w:keepLines/>
      <w:ind w:firstLine="0" w:firstLineChars="0"/>
      <w:jc w:val="center"/>
      <w:outlineLvl w:val="1"/>
    </w:pPr>
    <w:rPr>
      <w:rFonts w:ascii="Cambria" w:hAnsi="Cambria" w:eastAsia="黑体"/>
      <w:bCs/>
      <w:szCs w:val="32"/>
    </w:rPr>
  </w:style>
  <w:style w:type="paragraph" w:styleId="4">
    <w:name w:val="heading 3"/>
    <w:basedOn w:val="1"/>
    <w:next w:val="1"/>
    <w:link w:val="36"/>
    <w:unhideWhenUsed/>
    <w:qFormat/>
    <w:uiPriority w:val="9"/>
    <w:pPr>
      <w:widowControl w:val="0"/>
      <w:ind w:firstLine="643"/>
      <w:jc w:val="left"/>
      <w:outlineLvl w:val="2"/>
    </w:pPr>
    <w:rPr>
      <w:rFonts w:eastAsia="楷体"/>
      <w:b/>
      <w:szCs w:val="32"/>
    </w:rPr>
  </w:style>
  <w:style w:type="paragraph" w:styleId="5">
    <w:name w:val="heading 4"/>
    <w:basedOn w:val="1"/>
    <w:next w:val="1"/>
    <w:link w:val="37"/>
    <w:unhideWhenUsed/>
    <w:qFormat/>
    <w:uiPriority w:val="9"/>
    <w:pPr>
      <w:keepNext/>
      <w:keepLines/>
      <w:spacing w:before="120" w:after="120" w:line="360" w:lineRule="auto"/>
      <w:outlineLvl w:val="3"/>
    </w:pPr>
    <w:rPr>
      <w:rFonts w:ascii="Cambria" w:hAnsi="Cambria"/>
      <w:b/>
      <w:bCs/>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ind w:left="2520" w:leftChars="1200"/>
    </w:pPr>
  </w:style>
  <w:style w:type="paragraph" w:styleId="7">
    <w:name w:val="annotation text"/>
    <w:basedOn w:val="1"/>
    <w:link w:val="38"/>
    <w:semiHidden/>
    <w:unhideWhenUsed/>
    <w:qFormat/>
    <w:uiPriority w:val="99"/>
    <w:pPr>
      <w:jc w:val="left"/>
    </w:pPr>
  </w:style>
  <w:style w:type="paragraph" w:styleId="8">
    <w:name w:val="toc 5"/>
    <w:basedOn w:val="1"/>
    <w:next w:val="1"/>
    <w:unhideWhenUsed/>
    <w:qFormat/>
    <w:uiPriority w:val="39"/>
    <w:pPr>
      <w:widowControl w:val="0"/>
      <w:ind w:left="1680" w:leftChars="800"/>
    </w:pPr>
  </w:style>
  <w:style w:type="paragraph" w:styleId="9">
    <w:name w:val="toc 3"/>
    <w:basedOn w:val="1"/>
    <w:next w:val="1"/>
    <w:unhideWhenUsed/>
    <w:qFormat/>
    <w:uiPriority w:val="39"/>
    <w:pPr>
      <w:tabs>
        <w:tab w:val="right" w:leader="dot" w:pos="8296"/>
      </w:tabs>
      <w:ind w:left="840" w:leftChars="400"/>
    </w:pPr>
    <w:rPr>
      <w:rFonts w:ascii="仿宋_GB2312"/>
      <w:color w:val="FF0000"/>
      <w:szCs w:val="32"/>
    </w:rPr>
  </w:style>
  <w:style w:type="paragraph" w:styleId="10">
    <w:name w:val="toc 8"/>
    <w:basedOn w:val="1"/>
    <w:next w:val="1"/>
    <w:unhideWhenUsed/>
    <w:qFormat/>
    <w:uiPriority w:val="39"/>
    <w:pPr>
      <w:widowControl w:val="0"/>
      <w:ind w:left="2940" w:leftChars="1400"/>
    </w:pPr>
  </w:style>
  <w:style w:type="paragraph" w:styleId="11">
    <w:name w:val="Balloon Text"/>
    <w:basedOn w:val="1"/>
    <w:link w:val="39"/>
    <w:semiHidden/>
    <w:unhideWhenUsed/>
    <w:qFormat/>
    <w:uiPriority w:val="99"/>
    <w:rPr>
      <w:sz w:val="18"/>
      <w:szCs w:val="18"/>
    </w:r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widowControl w:val="0"/>
      <w:ind w:left="1260" w:leftChars="600"/>
    </w:pPr>
  </w:style>
  <w:style w:type="paragraph" w:styleId="16">
    <w:name w:val="Subtitle"/>
    <w:basedOn w:val="1"/>
    <w:next w:val="1"/>
    <w:link w:val="42"/>
    <w:qFormat/>
    <w:uiPriority w:val="0"/>
    <w:pPr>
      <w:widowControl w:val="0"/>
      <w:contextualSpacing/>
      <w:jc w:val="left"/>
      <w:outlineLvl w:val="2"/>
    </w:pPr>
    <w:rPr>
      <w:rFonts w:ascii="等线 Light" w:hAnsi="等线 Light"/>
      <w:b/>
      <w:bCs/>
      <w:kern w:val="28"/>
      <w:sz w:val="28"/>
      <w:szCs w:val="32"/>
    </w:rPr>
  </w:style>
  <w:style w:type="paragraph" w:styleId="17">
    <w:name w:val="toc 6"/>
    <w:basedOn w:val="1"/>
    <w:next w:val="1"/>
    <w:unhideWhenUsed/>
    <w:qFormat/>
    <w:uiPriority w:val="39"/>
    <w:pPr>
      <w:widowControl w:val="0"/>
      <w:ind w:left="2100" w:leftChars="1000"/>
    </w:p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widowControl w:val="0"/>
      <w:ind w:left="3360" w:leftChars="1600"/>
    </w:pPr>
  </w:style>
  <w:style w:type="paragraph" w:styleId="20">
    <w:name w:val="Normal (Web)"/>
    <w:basedOn w:val="1"/>
    <w:semiHidden/>
    <w:unhideWhenUsed/>
    <w:qFormat/>
    <w:uiPriority w:val="99"/>
    <w:pPr>
      <w:spacing w:beforeAutospacing="1" w:afterAutospacing="1"/>
      <w:jc w:val="left"/>
    </w:pPr>
    <w:rPr>
      <w:kern w:val="0"/>
      <w:sz w:val="24"/>
    </w:rPr>
  </w:style>
  <w:style w:type="paragraph" w:styleId="21">
    <w:name w:val="annotation subject"/>
    <w:basedOn w:val="7"/>
    <w:next w:val="7"/>
    <w:link w:val="43"/>
    <w:semiHidden/>
    <w:unhideWhenUsed/>
    <w:qFormat/>
    <w:uiPriority w:val="99"/>
    <w:rPr>
      <w:b/>
      <w:bCs/>
    </w:rPr>
  </w:style>
  <w:style w:type="table" w:styleId="23">
    <w:name w:val="Table Grid"/>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5">
    <w:name w:val="FollowedHyperlink"/>
    <w:semiHidden/>
    <w:unhideWhenUsed/>
    <w:qFormat/>
    <w:uiPriority w:val="99"/>
    <w:rPr>
      <w:color w:val="000000"/>
      <w:u w:val="none"/>
    </w:rPr>
  </w:style>
  <w:style w:type="character" w:styleId="26">
    <w:name w:val="Emphasis"/>
    <w:basedOn w:val="24"/>
    <w:qFormat/>
    <w:uiPriority w:val="20"/>
  </w:style>
  <w:style w:type="character" w:styleId="27">
    <w:name w:val="HTML Definition"/>
    <w:basedOn w:val="24"/>
    <w:semiHidden/>
    <w:unhideWhenUsed/>
    <w:qFormat/>
    <w:uiPriority w:val="99"/>
  </w:style>
  <w:style w:type="character" w:styleId="28">
    <w:name w:val="HTML Acronym"/>
    <w:basedOn w:val="24"/>
    <w:semiHidden/>
    <w:unhideWhenUsed/>
    <w:qFormat/>
    <w:uiPriority w:val="99"/>
  </w:style>
  <w:style w:type="character" w:styleId="29">
    <w:name w:val="HTML Variable"/>
    <w:basedOn w:val="24"/>
    <w:semiHidden/>
    <w:unhideWhenUsed/>
    <w:qFormat/>
    <w:uiPriority w:val="99"/>
  </w:style>
  <w:style w:type="character" w:styleId="30">
    <w:name w:val="Hyperlink"/>
    <w:unhideWhenUsed/>
    <w:qFormat/>
    <w:uiPriority w:val="99"/>
    <w:rPr>
      <w:color w:val="0000FF"/>
      <w:u w:val="single"/>
    </w:rPr>
  </w:style>
  <w:style w:type="character" w:styleId="31">
    <w:name w:val="HTML Code"/>
    <w:semiHidden/>
    <w:unhideWhenUsed/>
    <w:qFormat/>
    <w:uiPriority w:val="99"/>
    <w:rPr>
      <w:rFonts w:ascii="Courier New" w:hAnsi="Courier New"/>
      <w:sz w:val="20"/>
    </w:rPr>
  </w:style>
  <w:style w:type="character" w:styleId="32">
    <w:name w:val="annotation reference"/>
    <w:semiHidden/>
    <w:unhideWhenUsed/>
    <w:qFormat/>
    <w:uiPriority w:val="99"/>
    <w:rPr>
      <w:sz w:val="21"/>
      <w:szCs w:val="21"/>
    </w:rPr>
  </w:style>
  <w:style w:type="character" w:styleId="33">
    <w:name w:val="HTML Cite"/>
    <w:basedOn w:val="24"/>
    <w:semiHidden/>
    <w:unhideWhenUsed/>
    <w:qFormat/>
    <w:uiPriority w:val="99"/>
  </w:style>
  <w:style w:type="character" w:customStyle="1" w:styleId="34">
    <w:name w:val="标题 1 Char"/>
    <w:basedOn w:val="24"/>
    <w:link w:val="2"/>
    <w:qFormat/>
    <w:uiPriority w:val="9"/>
    <w:rPr>
      <w:rFonts w:ascii="Times New Roman" w:hAnsi="Times New Roman" w:eastAsia="方正小标宋_GBK" w:cs="Times New Roman"/>
      <w:bCs/>
      <w:kern w:val="44"/>
      <w:sz w:val="36"/>
      <w:szCs w:val="44"/>
    </w:rPr>
  </w:style>
  <w:style w:type="character" w:customStyle="1" w:styleId="35">
    <w:name w:val="标题 2 Char"/>
    <w:basedOn w:val="24"/>
    <w:link w:val="3"/>
    <w:qFormat/>
    <w:uiPriority w:val="9"/>
    <w:rPr>
      <w:rFonts w:ascii="Cambria" w:hAnsi="Cambria" w:eastAsia="黑体" w:cs="Times New Roman"/>
      <w:bCs/>
      <w:sz w:val="32"/>
      <w:szCs w:val="32"/>
    </w:rPr>
  </w:style>
  <w:style w:type="character" w:customStyle="1" w:styleId="36">
    <w:name w:val="标题 3 Char"/>
    <w:basedOn w:val="24"/>
    <w:link w:val="4"/>
    <w:qFormat/>
    <w:uiPriority w:val="9"/>
    <w:rPr>
      <w:rFonts w:ascii="Times New Roman" w:hAnsi="Times New Roman" w:eastAsia="楷体" w:cs="Times New Roman"/>
      <w:b/>
      <w:sz w:val="32"/>
      <w:szCs w:val="32"/>
    </w:rPr>
  </w:style>
  <w:style w:type="character" w:customStyle="1" w:styleId="37">
    <w:name w:val="标题 4 Char"/>
    <w:basedOn w:val="24"/>
    <w:link w:val="5"/>
    <w:qFormat/>
    <w:uiPriority w:val="9"/>
    <w:rPr>
      <w:rFonts w:ascii="Cambria" w:hAnsi="Cambria" w:eastAsia="仿宋_GB2312" w:cs="Times New Roman"/>
      <w:b/>
      <w:bCs/>
      <w:sz w:val="32"/>
      <w:szCs w:val="28"/>
    </w:rPr>
  </w:style>
  <w:style w:type="character" w:customStyle="1" w:styleId="38">
    <w:name w:val="批注文字 Char"/>
    <w:basedOn w:val="24"/>
    <w:link w:val="7"/>
    <w:semiHidden/>
    <w:qFormat/>
    <w:uiPriority w:val="99"/>
    <w:rPr>
      <w:rFonts w:ascii="Times New Roman" w:hAnsi="Times New Roman" w:eastAsia="仿宋_GB2312" w:cs="Times New Roman"/>
      <w:sz w:val="32"/>
    </w:rPr>
  </w:style>
  <w:style w:type="character" w:customStyle="1" w:styleId="39">
    <w:name w:val="批注框文本 Char"/>
    <w:basedOn w:val="24"/>
    <w:link w:val="11"/>
    <w:semiHidden/>
    <w:qFormat/>
    <w:uiPriority w:val="99"/>
    <w:rPr>
      <w:rFonts w:ascii="Times New Roman" w:hAnsi="Times New Roman" w:eastAsia="仿宋_GB2312" w:cs="Times New Roman"/>
      <w:sz w:val="18"/>
      <w:szCs w:val="18"/>
    </w:rPr>
  </w:style>
  <w:style w:type="character" w:customStyle="1" w:styleId="40">
    <w:name w:val="页脚 Char"/>
    <w:basedOn w:val="24"/>
    <w:link w:val="12"/>
    <w:qFormat/>
    <w:uiPriority w:val="99"/>
    <w:rPr>
      <w:rFonts w:ascii="Times New Roman" w:hAnsi="Times New Roman" w:eastAsia="仿宋_GB2312" w:cs="Times New Roman"/>
      <w:sz w:val="18"/>
      <w:szCs w:val="18"/>
    </w:rPr>
  </w:style>
  <w:style w:type="character" w:customStyle="1" w:styleId="41">
    <w:name w:val="页眉 Char"/>
    <w:basedOn w:val="24"/>
    <w:link w:val="13"/>
    <w:qFormat/>
    <w:uiPriority w:val="99"/>
    <w:rPr>
      <w:rFonts w:ascii="Times New Roman" w:hAnsi="Times New Roman" w:eastAsia="仿宋_GB2312" w:cs="Times New Roman"/>
      <w:sz w:val="18"/>
      <w:szCs w:val="18"/>
    </w:rPr>
  </w:style>
  <w:style w:type="character" w:customStyle="1" w:styleId="42">
    <w:name w:val="副标题 Char"/>
    <w:basedOn w:val="24"/>
    <w:link w:val="16"/>
    <w:qFormat/>
    <w:uiPriority w:val="0"/>
    <w:rPr>
      <w:rFonts w:ascii="等线 Light" w:hAnsi="等线 Light" w:eastAsia="仿宋_GB2312" w:cs="Times New Roman"/>
      <w:b/>
      <w:bCs/>
      <w:kern w:val="28"/>
      <w:sz w:val="28"/>
      <w:szCs w:val="32"/>
    </w:rPr>
  </w:style>
  <w:style w:type="character" w:customStyle="1" w:styleId="43">
    <w:name w:val="批注主题 Char"/>
    <w:basedOn w:val="38"/>
    <w:link w:val="21"/>
    <w:semiHidden/>
    <w:qFormat/>
    <w:uiPriority w:val="99"/>
    <w:rPr>
      <w:rFonts w:ascii="Times New Roman" w:hAnsi="Times New Roman" w:eastAsia="仿宋_GB2312" w:cs="Times New Roman"/>
      <w:b/>
      <w:bCs/>
      <w:sz w:val="32"/>
    </w:rPr>
  </w:style>
  <w:style w:type="character" w:customStyle="1" w:styleId="44">
    <w:name w:val="副标题 字符"/>
    <w:qFormat/>
    <w:uiPriority w:val="11"/>
    <w:rPr>
      <w:b/>
      <w:bCs/>
      <w:kern w:val="28"/>
      <w:sz w:val="32"/>
      <w:szCs w:val="32"/>
    </w:rPr>
  </w:style>
  <w:style w:type="paragraph" w:styleId="45">
    <w:name w:val="List Paragraph"/>
    <w:basedOn w:val="1"/>
    <w:qFormat/>
    <w:uiPriority w:val="34"/>
    <w:pPr>
      <w:ind w:firstLine="420"/>
    </w:pPr>
  </w:style>
  <w:style w:type="paragraph" w:customStyle="1" w:styleId="46">
    <w:name w:val="Default"/>
    <w:qFormat/>
    <w:uiPriority w:val="0"/>
    <w:pPr>
      <w:widowControl w:val="0"/>
      <w:autoSpaceDE w:val="0"/>
      <w:autoSpaceDN w:val="0"/>
      <w:adjustRightInd w:val="0"/>
    </w:pPr>
    <w:rPr>
      <w:rFonts w:ascii="Fang Song" w:hAnsi="Calibri" w:eastAsia="Fang Song" w:cs="Fang Song"/>
      <w:color w:val="000000"/>
      <w:kern w:val="0"/>
      <w:sz w:val="24"/>
      <w:szCs w:val="24"/>
      <w:lang w:val="en-US" w:eastAsia="zh-CN" w:bidi="ar-SA"/>
    </w:rPr>
  </w:style>
  <w:style w:type="paragraph" w:customStyle="1" w:styleId="47">
    <w:name w:val="TOC 标题1"/>
    <w:basedOn w:val="2"/>
    <w:next w:val="1"/>
    <w:unhideWhenUsed/>
    <w:qFormat/>
    <w:uiPriority w:val="39"/>
    <w:pPr>
      <w:spacing w:before="240" w:line="259" w:lineRule="auto"/>
      <w:jc w:val="left"/>
      <w:outlineLvl w:val="9"/>
    </w:pPr>
    <w:rPr>
      <w:rFonts w:ascii="Cambria" w:hAnsi="Cambria" w:eastAsia="宋体"/>
      <w:b/>
      <w:bCs w:val="0"/>
      <w:color w:val="365F91"/>
      <w:kern w:val="0"/>
      <w:sz w:val="32"/>
      <w:szCs w:val="32"/>
    </w:rPr>
  </w:style>
  <w:style w:type="paragraph" w:customStyle="1" w:styleId="48">
    <w:name w:val="修订1"/>
    <w:hidden/>
    <w:semiHidden/>
    <w:qFormat/>
    <w:uiPriority w:val="99"/>
    <w:rPr>
      <w:rFonts w:ascii="Calibri" w:hAnsi="Calibri" w:eastAsia="宋体" w:cs="Times New Roman"/>
      <w:kern w:val="2"/>
      <w:sz w:val="21"/>
      <w:szCs w:val="22"/>
      <w:lang w:val="en-US" w:eastAsia="zh-CN" w:bidi="ar-SA"/>
    </w:rPr>
  </w:style>
  <w:style w:type="character" w:customStyle="1" w:styleId="49">
    <w:name w:val="NormalCharacter"/>
    <w:qFormat/>
    <w:uiPriority w:val="0"/>
  </w:style>
  <w:style w:type="character" w:customStyle="1" w:styleId="50">
    <w:name w:val="more-btn-mailbox-left1"/>
    <w:basedOn w:val="24"/>
    <w:qFormat/>
    <w:uiPriority w:val="0"/>
  </w:style>
  <w:style w:type="character" w:customStyle="1" w:styleId="51">
    <w:name w:val="layui-layer-tabnow"/>
    <w:qFormat/>
    <w:uiPriority w:val="0"/>
    <w:rPr>
      <w:bdr w:val="single" w:color="CCCCCC" w:sz="6" w:space="0"/>
      <w:shd w:val="clear" w:color="auto" w:fill="FFFFFF"/>
    </w:rPr>
  </w:style>
  <w:style w:type="character" w:customStyle="1" w:styleId="52">
    <w:name w:val="first-child1"/>
    <w:basedOn w:val="24"/>
    <w:qFormat/>
    <w:uiPriority w:val="0"/>
  </w:style>
  <w:style w:type="character" w:customStyle="1" w:styleId="53">
    <w:name w:val="more-btn-mailbox-left"/>
    <w:basedOn w:val="24"/>
    <w:qFormat/>
    <w:uiPriority w:val="0"/>
  </w:style>
  <w:style w:type="character" w:customStyle="1" w:styleId="54">
    <w:name w:val="hover"/>
    <w:qFormat/>
    <w:uiPriority w:val="0"/>
    <w:rPr>
      <w:shd w:val="clear" w:color="auto" w:fill="339900"/>
    </w:rPr>
  </w:style>
  <w:style w:type="character" w:customStyle="1" w:styleId="55">
    <w:name w:val="first-child"/>
    <w:basedOn w:val="24"/>
    <w:qFormat/>
    <w:uiPriority w:val="0"/>
  </w:style>
  <w:style w:type="character" w:customStyle="1" w:styleId="56">
    <w:name w:val="curr"/>
    <w:qFormat/>
    <w:uiPriority w:val="0"/>
    <w:rPr>
      <w:shd w:val="clear" w:color="auto" w:fill="339900"/>
    </w:rPr>
  </w:style>
  <w:style w:type="character" w:customStyle="1" w:styleId="57">
    <w:name w:val="ri2"/>
    <w:qFormat/>
    <w:uiPriority w:val="0"/>
    <w:rPr>
      <w:color w:val="999999"/>
      <w:sz w:val="16"/>
      <w:szCs w:val="16"/>
    </w:rPr>
  </w:style>
  <w:style w:type="character" w:customStyle="1" w:styleId="58">
    <w:name w:val="js"/>
    <w:qFormat/>
    <w:uiPriority w:val="0"/>
    <w:rPr>
      <w:color w:val="999999"/>
    </w:rPr>
  </w:style>
  <w:style w:type="character" w:customStyle="1" w:styleId="59">
    <w:name w:val="bsharetext"/>
    <w:basedOn w:val="24"/>
    <w:qFormat/>
    <w:uiPriority w:val="0"/>
  </w:style>
  <w:style w:type="character" w:customStyle="1" w:styleId="60">
    <w:name w:val="未处理的提及1"/>
    <w:semiHidden/>
    <w:unhideWhenUsed/>
    <w:qFormat/>
    <w:uiPriority w:val="99"/>
    <w:rPr>
      <w:color w:val="605E5C"/>
      <w:shd w:val="clear" w:color="auto" w:fill="E1DFDD"/>
    </w:rPr>
  </w:style>
  <w:style w:type="character" w:customStyle="1" w:styleId="61">
    <w:name w:val="未处理的提及2"/>
    <w:semiHidden/>
    <w:unhideWhenUsed/>
    <w:qFormat/>
    <w:uiPriority w:val="99"/>
    <w:rPr>
      <w:color w:val="605E5C"/>
      <w:shd w:val="clear" w:color="auto" w:fill="E1DFDD"/>
    </w:rPr>
  </w:style>
  <w:style w:type="paragraph" w:customStyle="1" w:styleId="62">
    <w:name w:val="修订2"/>
    <w:hidden/>
    <w:semiHidden/>
    <w:qFormat/>
    <w:uiPriority w:val="99"/>
    <w:rPr>
      <w:rFonts w:ascii="Times New Roman" w:hAnsi="Times New Roman" w:eastAsia="仿宋_GB2312" w:cs="Times New Roman"/>
      <w:kern w:val="2"/>
      <w:sz w:val="32"/>
      <w:szCs w:val="22"/>
      <w:lang w:val="en-US" w:eastAsia="zh-CN" w:bidi="ar-SA"/>
    </w:rPr>
  </w:style>
  <w:style w:type="paragraph" w:customStyle="1" w:styleId="63">
    <w:name w:val="修订3"/>
    <w:hidden/>
    <w:semiHidden/>
    <w:qFormat/>
    <w:uiPriority w:val="99"/>
    <w:rPr>
      <w:rFonts w:ascii="Times New Roman" w:hAnsi="Times New Roman" w:eastAsia="仿宋_GB2312" w:cs="Times New Roman"/>
      <w:kern w:val="2"/>
      <w:sz w:val="32"/>
      <w:szCs w:val="22"/>
      <w:lang w:val="en-US" w:eastAsia="zh-CN" w:bidi="ar-SA"/>
    </w:rPr>
  </w:style>
  <w:style w:type="paragraph" w:customStyle="1" w:styleId="64">
    <w:name w:val="修订4"/>
    <w:hidden/>
    <w:semiHidden/>
    <w:qFormat/>
    <w:uiPriority w:val="99"/>
    <w:rPr>
      <w:rFonts w:ascii="Times New Roman" w:hAnsi="Times New Roman" w:eastAsia="仿宋_GB2312" w:cs="Times New Roman"/>
      <w:kern w:val="2"/>
      <w:sz w:val="32"/>
      <w:szCs w:val="22"/>
      <w:lang w:val="en-US" w:eastAsia="zh-CN" w:bidi="ar-SA"/>
    </w:rPr>
  </w:style>
  <w:style w:type="paragraph" w:customStyle="1" w:styleId="65">
    <w:name w:val="修订5"/>
    <w:hidden/>
    <w:semiHidden/>
    <w:qFormat/>
    <w:uiPriority w:val="99"/>
    <w:rPr>
      <w:rFonts w:ascii="Times New Roman" w:hAnsi="Times New Roman" w:eastAsia="仿宋_GB2312" w:cs="Times New Roman"/>
      <w:kern w:val="2"/>
      <w:sz w:val="32"/>
      <w:szCs w:val="22"/>
      <w:lang w:val="en-US" w:eastAsia="zh-CN" w:bidi="ar-SA"/>
    </w:rPr>
  </w:style>
  <w:style w:type="paragraph" w:customStyle="1" w:styleId="66">
    <w:name w:val="p0"/>
    <w:basedOn w:val="1"/>
    <w:qFormat/>
    <w:uiPriority w:val="0"/>
    <w:pPr>
      <w:ind w:firstLine="0" w:firstLineChars="0"/>
    </w:pPr>
    <w:rPr>
      <w:rFonts w:eastAsia="宋体"/>
      <w:kern w:val="0"/>
      <w:sz w:val="21"/>
      <w:szCs w:val="21"/>
    </w:rPr>
  </w:style>
  <w:style w:type="paragraph" w:customStyle="1" w:styleId="67">
    <w:name w:val="Revision"/>
    <w:hidden/>
    <w:semiHidden/>
    <w:uiPriority w:val="99"/>
    <w:rPr>
      <w:rFonts w:ascii="Times New Roman" w:hAnsi="Times New Roman"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15759</Words>
  <Characters>16126</Characters>
  <Lines>131</Lines>
  <Paragraphs>37</Paragraphs>
  <TotalTime>6</TotalTime>
  <ScaleCrop>false</ScaleCrop>
  <LinksUpToDate>false</LinksUpToDate>
  <CharactersWithSpaces>16198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2022-11-03T02:55:00Z</dcterms:created>
  <dc:creator>李海军</dc:creator>
  <cp:lastModifiedBy>Administrator</cp:lastModifiedBy>
  <dcterms:modified xsi:type="dcterms:W3CDTF">2023-04-13T07:57:40Z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9E3A7BE1B4634DF988B3A0B3FC8ED418_12</vt:lpwstr>
  </property>
</Properties>
</file>