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年中央转移支付国家农业种质资源保护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项目及种畜禽生产性能测定项目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——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农业农村局，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（一）项目立项、资金下达情况。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（二）绩效指标设定情况。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实施方案编制及批复情况、项目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资金用途及目的。</w:t>
      </w:r>
    </w:p>
    <w:p>
      <w:pPr>
        <w:keepNext w:val="0"/>
        <w:keepLines w:val="0"/>
        <w:pageBreakBefore w:val="0"/>
        <w:widowControl w:val="0"/>
        <w:tabs>
          <w:tab w:val="left" w:pos="5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二、项目实施及绩效目标完成情况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/>
          <w:b w:val="0"/>
          <w:bCs w:val="0"/>
          <w:sz w:val="32"/>
          <w:szCs w:val="32"/>
          <w:lang w:eastAsia="zh-CN"/>
        </w:rPr>
        <w:t>（一）资金使用和管理情况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1.项目资金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到位情况和实际使用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情况分析。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2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.项目资金管理情况分析（包括管理制度、办法的制订及执行情况）。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.项目资金支出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及合规性分析。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（二）绩效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目标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根据各三级绩效指标值，逐项分析全年实际完成情况。分别对照各专项资金文件下达的绩效目标表对产出指标、效益指标、满意度指标完成情况进行分析说明。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三、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（一）项目实施管理情况（包括项目实施组织机构情况、项目管理制度建设、日常检查监督管理等）。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（二）项目任务完成情况，项目验收及实施效果等。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四、偏离绩效目标的原因和改进措施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both"/>
        <w:textAlignment w:val="auto"/>
        <w:rPr>
          <w:rFonts w:hint="default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项目绩效目标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未完成的原因分析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改进措施。项目实施中存在的问题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</w:rPr>
        <w:t>原因分析和改进措施。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五、</w:t>
      </w:r>
      <w:r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  <w:t>主要经验做法及下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  <w:t>步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工作建议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F3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2025-06-18T16:35:53Z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