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064" w:rsidRDefault="00000000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520064" w:rsidRDefault="00520064">
      <w:pPr>
        <w:pStyle w:val="2"/>
        <w:adjustRightInd w:val="0"/>
        <w:snapToGrid w:val="0"/>
        <w:spacing w:line="600" w:lineRule="exact"/>
        <w:rPr>
          <w:rFonts w:ascii="Times New Roman" w:eastAsia="黑体" w:hAnsi="Times New Roman"/>
          <w:color w:val="000000"/>
        </w:rPr>
      </w:pPr>
    </w:p>
    <w:p w:rsidR="00520064" w:rsidRDefault="00000000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柑橘黄龙病防控行动调度表</w:t>
      </w:r>
    </w:p>
    <w:p w:rsidR="00520064" w:rsidRDefault="00520064">
      <w:pPr>
        <w:pStyle w:val="2"/>
        <w:adjustRightInd w:val="0"/>
        <w:snapToGrid w:val="0"/>
        <w:spacing w:line="600" w:lineRule="exact"/>
        <w:rPr>
          <w:rFonts w:ascii="Times New Roman" w:eastAsia="黑体" w:hAnsi="Times New Roman"/>
          <w:color w:val="000000"/>
        </w:rPr>
      </w:pPr>
    </w:p>
    <w:p w:rsidR="00520064" w:rsidRDefault="00000000">
      <w:pPr>
        <w:jc w:val="left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sz w:val="24"/>
          <w:szCs w:val="24"/>
        </w:rPr>
        <w:t>填报单位：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>填报人：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>联系电话：</w:t>
      </w:r>
    </w:p>
    <w:tbl>
      <w:tblPr>
        <w:tblStyle w:val="a5"/>
        <w:tblW w:w="4998" w:type="pct"/>
        <w:jc w:val="center"/>
        <w:tblLook w:val="04A0" w:firstRow="1" w:lastRow="0" w:firstColumn="1" w:lastColumn="0" w:noHBand="0" w:noVBand="1"/>
      </w:tblPr>
      <w:tblGrid>
        <w:gridCol w:w="1629"/>
        <w:gridCol w:w="1047"/>
        <w:gridCol w:w="949"/>
        <w:gridCol w:w="921"/>
        <w:gridCol w:w="1077"/>
        <w:gridCol w:w="1047"/>
        <w:gridCol w:w="1352"/>
        <w:gridCol w:w="1138"/>
        <w:gridCol w:w="917"/>
        <w:gridCol w:w="1252"/>
        <w:gridCol w:w="1383"/>
        <w:gridCol w:w="1230"/>
      </w:tblGrid>
      <w:tr w:rsidR="00520064">
        <w:trPr>
          <w:trHeight w:val="451"/>
          <w:jc w:val="center"/>
        </w:trPr>
        <w:tc>
          <w:tcPr>
            <w:tcW w:w="584" w:type="pct"/>
            <w:vMerge w:val="restar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日期</w:t>
            </w:r>
          </w:p>
        </w:tc>
        <w:tc>
          <w:tcPr>
            <w:tcW w:w="715" w:type="pct"/>
            <w:gridSpan w:val="2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部署动员</w:t>
            </w:r>
          </w:p>
        </w:tc>
        <w:tc>
          <w:tcPr>
            <w:tcW w:w="716" w:type="pct"/>
            <w:gridSpan w:val="2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排查摸底</w:t>
            </w:r>
          </w:p>
        </w:tc>
        <w:tc>
          <w:tcPr>
            <w:tcW w:w="1268" w:type="pct"/>
            <w:gridSpan w:val="3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集中清理</w:t>
            </w:r>
          </w:p>
        </w:tc>
        <w:tc>
          <w:tcPr>
            <w:tcW w:w="778" w:type="pct"/>
            <w:gridSpan w:val="2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统防统治</w:t>
            </w:r>
          </w:p>
        </w:tc>
        <w:tc>
          <w:tcPr>
            <w:tcW w:w="937" w:type="pct"/>
            <w:gridSpan w:val="2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执法检查</w:t>
            </w:r>
          </w:p>
        </w:tc>
      </w:tr>
      <w:tr w:rsidR="00520064">
        <w:trPr>
          <w:trHeight w:val="664"/>
          <w:jc w:val="center"/>
        </w:trPr>
        <w:tc>
          <w:tcPr>
            <w:tcW w:w="584" w:type="pct"/>
            <w:vMerge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制定工作方案（个）</w:t>
            </w:r>
          </w:p>
        </w:tc>
        <w:tc>
          <w:tcPr>
            <w:tcW w:w="340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媒体宣传（条）</w:t>
            </w:r>
          </w:p>
        </w:tc>
        <w:tc>
          <w:tcPr>
            <w:tcW w:w="330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失管果园面积（亩）</w:t>
            </w:r>
          </w:p>
        </w:tc>
        <w:tc>
          <w:tcPr>
            <w:tcW w:w="386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半失管果园面积（亩）</w:t>
            </w:r>
          </w:p>
        </w:tc>
        <w:tc>
          <w:tcPr>
            <w:tcW w:w="375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失管果园面积（亩）</w:t>
            </w:r>
          </w:p>
        </w:tc>
        <w:tc>
          <w:tcPr>
            <w:tcW w:w="485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半失管果园面积（亩）</w:t>
            </w:r>
          </w:p>
        </w:tc>
        <w:tc>
          <w:tcPr>
            <w:tcW w:w="407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退果还耕面积（亩）</w:t>
            </w:r>
          </w:p>
        </w:tc>
        <w:tc>
          <w:tcPr>
            <w:tcW w:w="329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木虱防治面积（亩）</w:t>
            </w:r>
          </w:p>
        </w:tc>
        <w:tc>
          <w:tcPr>
            <w:tcW w:w="448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其中统防统治面积（亩）</w:t>
            </w:r>
          </w:p>
        </w:tc>
        <w:tc>
          <w:tcPr>
            <w:tcW w:w="496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检查种苗基地、市场（个）</w:t>
            </w:r>
          </w:p>
        </w:tc>
        <w:tc>
          <w:tcPr>
            <w:tcW w:w="441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>检查农药、肥料门店（个）</w:t>
            </w:r>
          </w:p>
        </w:tc>
      </w:tr>
      <w:tr w:rsidR="00520064">
        <w:trPr>
          <w:trHeight w:val="680"/>
          <w:jc w:val="center"/>
        </w:trPr>
        <w:tc>
          <w:tcPr>
            <w:tcW w:w="584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</w:tr>
      <w:tr w:rsidR="00520064">
        <w:trPr>
          <w:trHeight w:val="680"/>
          <w:jc w:val="center"/>
        </w:trPr>
        <w:tc>
          <w:tcPr>
            <w:tcW w:w="584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  <w:lang w:val="en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20064">
        <w:trPr>
          <w:trHeight w:val="680"/>
          <w:jc w:val="center"/>
        </w:trPr>
        <w:tc>
          <w:tcPr>
            <w:tcW w:w="584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20064">
        <w:trPr>
          <w:trHeight w:val="680"/>
          <w:jc w:val="center"/>
        </w:trPr>
        <w:tc>
          <w:tcPr>
            <w:tcW w:w="584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20064">
        <w:trPr>
          <w:trHeight w:val="680"/>
          <w:jc w:val="center"/>
        </w:trPr>
        <w:tc>
          <w:tcPr>
            <w:tcW w:w="584" w:type="pct"/>
            <w:vAlign w:val="center"/>
          </w:tcPr>
          <w:p w:rsidR="00520064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520064" w:rsidRDefault="005200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520064" w:rsidRDefault="00000000">
      <w:pPr>
        <w:pStyle w:val="2"/>
        <w:ind w:firstLineChars="0" w:firstLine="0"/>
        <w:rPr>
          <w:rFonts w:ascii="Times New Roman" w:eastAsia="黑体" w:hAnsi="Times New Roman"/>
          <w:color w:val="000000"/>
        </w:rPr>
      </w:pPr>
      <w:r>
        <w:rPr>
          <w:rFonts w:ascii="Times New Roman" w:eastAsia="黑体" w:hAnsi="Times New Roman"/>
          <w:color w:val="000000"/>
        </w:rPr>
        <w:t>注：每月</w:t>
      </w:r>
      <w:r>
        <w:rPr>
          <w:rFonts w:ascii="Times New Roman" w:eastAsia="黑体" w:hAnsi="Times New Roman"/>
          <w:color w:val="000000"/>
        </w:rPr>
        <w:t>25</w:t>
      </w:r>
      <w:r>
        <w:rPr>
          <w:rFonts w:ascii="Times New Roman" w:eastAsia="黑体" w:hAnsi="Times New Roman"/>
          <w:color w:val="000000"/>
        </w:rPr>
        <w:t>日前上报，调度表数据均为累计数据，如</w:t>
      </w:r>
      <w:r>
        <w:rPr>
          <w:rFonts w:ascii="Times New Roman" w:eastAsia="黑体" w:hAnsi="Times New Roman"/>
          <w:color w:val="000000"/>
        </w:rPr>
        <w:t>2</w:t>
      </w:r>
      <w:r>
        <w:rPr>
          <w:rFonts w:ascii="Times New Roman" w:eastAsia="黑体" w:hAnsi="Times New Roman"/>
          <w:color w:val="000000"/>
        </w:rPr>
        <w:t>月</w:t>
      </w:r>
      <w:r>
        <w:rPr>
          <w:rFonts w:ascii="Times New Roman" w:eastAsia="黑体" w:hAnsi="Times New Roman"/>
          <w:color w:val="000000"/>
        </w:rPr>
        <w:t>25</w:t>
      </w:r>
      <w:r>
        <w:rPr>
          <w:rFonts w:ascii="Times New Roman" w:eastAsia="黑体" w:hAnsi="Times New Roman"/>
          <w:color w:val="000000"/>
        </w:rPr>
        <w:t>日填报的数据为</w:t>
      </w:r>
      <w:r>
        <w:rPr>
          <w:rFonts w:ascii="Times New Roman" w:eastAsia="黑体" w:hAnsi="Times New Roman"/>
          <w:color w:val="000000"/>
        </w:rPr>
        <w:t>1</w:t>
      </w:r>
      <w:r>
        <w:rPr>
          <w:rFonts w:ascii="Times New Roman" w:eastAsia="黑体" w:hAnsi="Times New Roman"/>
          <w:color w:val="000000"/>
        </w:rPr>
        <w:t>月和</w:t>
      </w:r>
      <w:r>
        <w:rPr>
          <w:rFonts w:ascii="Times New Roman" w:eastAsia="黑体" w:hAnsi="Times New Roman"/>
          <w:color w:val="000000"/>
        </w:rPr>
        <w:t>2</w:t>
      </w:r>
      <w:r>
        <w:rPr>
          <w:rFonts w:ascii="Times New Roman" w:eastAsia="黑体" w:hAnsi="Times New Roman"/>
          <w:color w:val="000000"/>
        </w:rPr>
        <w:t>月的累计数。</w:t>
      </w:r>
    </w:p>
    <w:p w:rsidR="00520064" w:rsidRDefault="00000000">
      <w:pPr>
        <w:adjustRightInd w:val="0"/>
        <w:snapToGrid w:val="0"/>
        <w:spacing w:line="600" w:lineRule="exact"/>
        <w:jc w:val="lef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520064" w:rsidRDefault="00520064">
      <w:pPr>
        <w:pStyle w:val="2"/>
        <w:adjustRightInd w:val="0"/>
        <w:snapToGrid w:val="0"/>
        <w:spacing w:line="600" w:lineRule="exact"/>
        <w:rPr>
          <w:rFonts w:ascii="Times New Roman" w:eastAsia="黑体" w:hAnsi="Times New Roman"/>
          <w:color w:val="000000"/>
        </w:rPr>
      </w:pPr>
    </w:p>
    <w:p w:rsidR="00520064" w:rsidRDefault="00000000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柑橘黄龙病防控行动工作统计表</w:t>
      </w:r>
    </w:p>
    <w:p w:rsidR="00520064" w:rsidRDefault="00520064">
      <w:pPr>
        <w:pStyle w:val="2"/>
        <w:adjustRightInd w:val="0"/>
        <w:snapToGrid w:val="0"/>
        <w:spacing w:line="600" w:lineRule="exact"/>
        <w:rPr>
          <w:rFonts w:ascii="Times New Roman" w:eastAsia="黑体" w:hAnsi="Times New Roman"/>
          <w:color w:val="000000"/>
        </w:rPr>
      </w:pPr>
    </w:p>
    <w:p w:rsidR="00520064" w:rsidRDefault="00000000">
      <w:pPr>
        <w:jc w:val="left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sz w:val="24"/>
          <w:szCs w:val="24"/>
        </w:rPr>
        <w:t>填报单位：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>填报人：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黑体" w:hAnsi="Times New Roman" w:cs="Times New Roman"/>
          <w:color w:val="000000"/>
          <w:sz w:val="24"/>
          <w:szCs w:val="24"/>
        </w:rPr>
        <w:t>联系电话：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214"/>
        <w:gridCol w:w="1184"/>
        <w:gridCol w:w="1524"/>
        <w:gridCol w:w="1489"/>
        <w:gridCol w:w="1924"/>
        <w:gridCol w:w="1924"/>
        <w:gridCol w:w="1924"/>
        <w:gridCol w:w="1782"/>
      </w:tblGrid>
      <w:tr w:rsidR="00520064">
        <w:trPr>
          <w:trHeight w:val="410"/>
          <w:jc w:val="center"/>
        </w:trPr>
        <w:tc>
          <w:tcPr>
            <w:tcW w:w="351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县（区）</w:t>
            </w:r>
          </w:p>
        </w:tc>
        <w:tc>
          <w:tcPr>
            <w:tcW w:w="1939" w:type="pct"/>
            <w:gridSpan w:val="4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2709" w:type="pct"/>
            <w:gridSpan w:val="4"/>
            <w:vAlign w:val="center"/>
          </w:tcPr>
          <w:p w:rsidR="00520064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政策支持和财政投入情况</w:t>
            </w:r>
          </w:p>
        </w:tc>
      </w:tr>
      <w:tr w:rsidR="00520064">
        <w:trPr>
          <w:trHeight w:val="616"/>
          <w:jc w:val="center"/>
        </w:trPr>
        <w:tc>
          <w:tcPr>
            <w:tcW w:w="351" w:type="pct"/>
            <w:vMerge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柑橘种植面积（亩）</w:t>
            </w:r>
          </w:p>
        </w:tc>
        <w:tc>
          <w:tcPr>
            <w:tcW w:w="424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失管果园面积（亩）</w:t>
            </w:r>
          </w:p>
        </w:tc>
        <w:tc>
          <w:tcPr>
            <w:tcW w:w="546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半失管果园面积（亩）</w:t>
            </w:r>
          </w:p>
        </w:tc>
        <w:tc>
          <w:tcPr>
            <w:tcW w:w="532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柑橘黄龙病病株率（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90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本级财政经费（万元）</w:t>
            </w:r>
          </w:p>
        </w:tc>
        <w:tc>
          <w:tcPr>
            <w:tcW w:w="690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以党委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政府名义下发相关文件（个）</w:t>
            </w:r>
          </w:p>
        </w:tc>
        <w:tc>
          <w:tcPr>
            <w:tcW w:w="690" w:type="pct"/>
            <w:vAlign w:val="center"/>
          </w:tcPr>
          <w:p w:rsidR="00520064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黄龙病防控工作列入绩效考核（是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否）</w:t>
            </w:r>
          </w:p>
        </w:tc>
        <w:tc>
          <w:tcPr>
            <w:tcW w:w="637" w:type="pct"/>
            <w:vAlign w:val="center"/>
          </w:tcPr>
          <w:p w:rsidR="00520064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完成情况建立通报制度（是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否）</w:t>
            </w:r>
          </w:p>
        </w:tc>
      </w:tr>
      <w:tr w:rsidR="00520064">
        <w:trPr>
          <w:trHeight w:val="510"/>
          <w:jc w:val="center"/>
        </w:trPr>
        <w:tc>
          <w:tcPr>
            <w:tcW w:w="351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43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351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43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351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3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35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35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35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351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市合计</w:t>
            </w:r>
          </w:p>
        </w:tc>
        <w:tc>
          <w:tcPr>
            <w:tcW w:w="43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20064" w:rsidRDefault="00000000">
      <w:pPr>
        <w:pStyle w:val="2"/>
        <w:ind w:firstLineChars="0" w:firstLine="0"/>
        <w:rPr>
          <w:rFonts w:ascii="Times New Roman" w:hAnsi="Times New Roman"/>
          <w:color w:val="000000"/>
        </w:rPr>
      </w:pPr>
      <w:r>
        <w:rPr>
          <w:rFonts w:ascii="Times New Roman" w:eastAsia="黑体" w:hAnsi="Times New Roman"/>
          <w:color w:val="000000"/>
        </w:rPr>
        <w:t>注：</w:t>
      </w:r>
      <w:r>
        <w:rPr>
          <w:rFonts w:ascii="Times New Roman" w:eastAsia="黑体" w:hAnsi="Times New Roman"/>
          <w:color w:val="000000"/>
        </w:rPr>
        <w:t>“</w:t>
      </w:r>
      <w:r>
        <w:rPr>
          <w:rFonts w:ascii="Times New Roman" w:eastAsia="黑体" w:hAnsi="Times New Roman"/>
          <w:color w:val="000000"/>
        </w:rPr>
        <w:t>本级财政经费</w:t>
      </w:r>
      <w:r>
        <w:rPr>
          <w:rFonts w:ascii="Times New Roman" w:eastAsia="黑体" w:hAnsi="Times New Roman"/>
          <w:color w:val="000000"/>
        </w:rPr>
        <w:t>”</w:t>
      </w:r>
      <w:r>
        <w:rPr>
          <w:rFonts w:ascii="Times New Roman" w:eastAsia="黑体" w:hAnsi="Times New Roman"/>
          <w:color w:val="000000"/>
        </w:rPr>
        <w:t>指各县（市、区）获得的财政专项经费，不包含自治区级、设区市财政经费；设区市财政专项经费请在市级汇总表中单独列明。</w:t>
      </w:r>
    </w:p>
    <w:p w:rsidR="00520064" w:rsidRDefault="00520064">
      <w:pPr>
        <w:pStyle w:val="2"/>
        <w:rPr>
          <w:rFonts w:ascii="Times New Roman" w:hAnsi="Times New Roman"/>
          <w:color w:val="000000"/>
        </w:rPr>
      </w:pPr>
    </w:p>
    <w:tbl>
      <w:tblPr>
        <w:tblStyle w:val="a5"/>
        <w:tblW w:w="4999" w:type="pct"/>
        <w:jc w:val="center"/>
        <w:tblLook w:val="04A0" w:firstRow="1" w:lastRow="0" w:firstColumn="1" w:lastColumn="0" w:noHBand="0" w:noVBand="1"/>
      </w:tblPr>
      <w:tblGrid>
        <w:gridCol w:w="1080"/>
        <w:gridCol w:w="1228"/>
        <w:gridCol w:w="1641"/>
        <w:gridCol w:w="1791"/>
        <w:gridCol w:w="1938"/>
        <w:gridCol w:w="1191"/>
        <w:gridCol w:w="1489"/>
        <w:gridCol w:w="1791"/>
        <w:gridCol w:w="1796"/>
      </w:tblGrid>
      <w:tr w:rsidR="00520064">
        <w:trPr>
          <w:trHeight w:val="561"/>
          <w:jc w:val="center"/>
        </w:trPr>
        <w:tc>
          <w:tcPr>
            <w:tcW w:w="387" w:type="pct"/>
            <w:vMerge w:val="restart"/>
          </w:tcPr>
          <w:p w:rsidR="00520064" w:rsidRDefault="00000000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县（区）</w:t>
            </w:r>
          </w:p>
        </w:tc>
        <w:tc>
          <w:tcPr>
            <w:tcW w:w="4612" w:type="pct"/>
            <w:gridSpan w:val="8"/>
            <w:vAlign w:val="center"/>
          </w:tcPr>
          <w:p w:rsidR="00520064" w:rsidRDefault="00000000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宣传培训情况</w:t>
            </w:r>
          </w:p>
        </w:tc>
      </w:tr>
      <w:tr w:rsidR="00520064">
        <w:trPr>
          <w:trHeight w:val="507"/>
          <w:jc w:val="center"/>
        </w:trPr>
        <w:tc>
          <w:tcPr>
            <w:tcW w:w="387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0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培训班（期）</w:t>
            </w:r>
          </w:p>
        </w:tc>
        <w:tc>
          <w:tcPr>
            <w:tcW w:w="588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培训人员（人次）</w:t>
            </w:r>
          </w:p>
        </w:tc>
        <w:tc>
          <w:tcPr>
            <w:tcW w:w="642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主流媒体宣传（条）</w:t>
            </w:r>
          </w:p>
        </w:tc>
        <w:tc>
          <w:tcPr>
            <w:tcW w:w="695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其他媒体宣传（条）</w:t>
            </w:r>
          </w:p>
        </w:tc>
        <w:tc>
          <w:tcPr>
            <w:tcW w:w="427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横幅（条）</w:t>
            </w:r>
          </w:p>
        </w:tc>
        <w:tc>
          <w:tcPr>
            <w:tcW w:w="534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宣传资料（份）</w:t>
            </w:r>
          </w:p>
        </w:tc>
        <w:tc>
          <w:tcPr>
            <w:tcW w:w="642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流动宣传车（车次）</w:t>
            </w:r>
          </w:p>
        </w:tc>
        <w:tc>
          <w:tcPr>
            <w:tcW w:w="641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宣传培训乡镇覆盖率（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%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520064">
        <w:trPr>
          <w:trHeight w:val="510"/>
          <w:jc w:val="center"/>
        </w:trPr>
        <w:tc>
          <w:tcPr>
            <w:tcW w:w="387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440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1" w:type="pct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387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440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1" w:type="pct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387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40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1" w:type="pct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387" w:type="pct"/>
            <w:vAlign w:val="center"/>
          </w:tcPr>
          <w:p w:rsidR="00520064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市合计</w:t>
            </w:r>
          </w:p>
        </w:tc>
        <w:tc>
          <w:tcPr>
            <w:tcW w:w="440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34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41" w:type="pct"/>
          </w:tcPr>
          <w:p w:rsidR="00520064" w:rsidRDefault="0052006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520064" w:rsidRDefault="00000000">
      <w:pPr>
        <w:pStyle w:val="2"/>
        <w:ind w:firstLineChars="0" w:firstLine="0"/>
        <w:rPr>
          <w:rFonts w:ascii="Times New Roman" w:eastAsia="黑体" w:hAnsi="Times New Roman"/>
          <w:color w:val="000000"/>
        </w:rPr>
      </w:pPr>
      <w:r>
        <w:rPr>
          <w:rFonts w:ascii="Times New Roman" w:eastAsia="黑体" w:hAnsi="Times New Roman"/>
          <w:color w:val="000000"/>
        </w:rPr>
        <w:t>注：</w:t>
      </w:r>
      <w:r>
        <w:rPr>
          <w:rFonts w:ascii="Times New Roman" w:eastAsia="黑体" w:hAnsi="Times New Roman"/>
          <w:color w:val="000000"/>
        </w:rPr>
        <w:t>“</w:t>
      </w:r>
      <w:r>
        <w:rPr>
          <w:rFonts w:ascii="Times New Roman" w:eastAsia="黑体" w:hAnsi="Times New Roman"/>
          <w:color w:val="000000"/>
        </w:rPr>
        <w:t>主流媒体</w:t>
      </w:r>
      <w:r>
        <w:rPr>
          <w:rFonts w:ascii="Times New Roman" w:eastAsia="黑体" w:hAnsi="Times New Roman"/>
          <w:color w:val="000000"/>
        </w:rPr>
        <w:t>”</w:t>
      </w:r>
      <w:r>
        <w:rPr>
          <w:rFonts w:ascii="Times New Roman" w:eastAsia="黑体" w:hAnsi="Times New Roman"/>
          <w:color w:val="000000"/>
        </w:rPr>
        <w:t>包括电视、广播、报纸，</w:t>
      </w:r>
      <w:r>
        <w:rPr>
          <w:rFonts w:ascii="Times New Roman" w:eastAsia="黑体" w:hAnsi="Times New Roman"/>
          <w:color w:val="000000"/>
        </w:rPr>
        <w:t>“</w:t>
      </w:r>
      <w:r>
        <w:rPr>
          <w:rFonts w:ascii="Times New Roman" w:eastAsia="黑体" w:hAnsi="Times New Roman"/>
          <w:color w:val="000000"/>
        </w:rPr>
        <w:t>其他媒体</w:t>
      </w:r>
      <w:r>
        <w:rPr>
          <w:rFonts w:ascii="Times New Roman" w:eastAsia="黑体" w:hAnsi="Times New Roman"/>
          <w:color w:val="000000"/>
        </w:rPr>
        <w:t>”</w:t>
      </w:r>
      <w:r>
        <w:rPr>
          <w:rFonts w:ascii="Times New Roman" w:eastAsia="黑体" w:hAnsi="Times New Roman"/>
          <w:color w:val="000000"/>
        </w:rPr>
        <w:t>包括网站、微信公众号、手机短信、公众场所电子屏等。</w:t>
      </w:r>
    </w:p>
    <w:p w:rsidR="00520064" w:rsidRDefault="00520064">
      <w:pPr>
        <w:jc w:val="left"/>
        <w:rPr>
          <w:rFonts w:ascii="Times New Roman" w:eastAsia="黑体" w:hAnsi="Times New Roman" w:cs="Times New Roman"/>
          <w:color w:val="000000"/>
          <w:sz w:val="24"/>
          <w:szCs w:val="2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176"/>
        <w:gridCol w:w="1123"/>
        <w:gridCol w:w="1028"/>
        <w:gridCol w:w="1178"/>
        <w:gridCol w:w="1178"/>
        <w:gridCol w:w="1031"/>
        <w:gridCol w:w="1178"/>
        <w:gridCol w:w="1178"/>
        <w:gridCol w:w="1622"/>
        <w:gridCol w:w="1184"/>
        <w:gridCol w:w="1220"/>
      </w:tblGrid>
      <w:tr w:rsidR="00520064">
        <w:trPr>
          <w:trHeight w:val="420"/>
          <w:jc w:val="center"/>
        </w:trPr>
        <w:tc>
          <w:tcPr>
            <w:tcW w:w="276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县（区）</w:t>
            </w:r>
          </w:p>
        </w:tc>
        <w:tc>
          <w:tcPr>
            <w:tcW w:w="4723" w:type="pct"/>
            <w:gridSpan w:val="11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防治情况</w:t>
            </w:r>
          </w:p>
        </w:tc>
      </w:tr>
      <w:tr w:rsidR="00520064">
        <w:trPr>
          <w:trHeight w:val="370"/>
          <w:jc w:val="center"/>
        </w:trPr>
        <w:tc>
          <w:tcPr>
            <w:tcW w:w="276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木虱防治面积（亩次）</w:t>
            </w:r>
          </w:p>
        </w:tc>
        <w:tc>
          <w:tcPr>
            <w:tcW w:w="405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统防统治面积（亩次）</w:t>
            </w:r>
          </w:p>
        </w:tc>
        <w:tc>
          <w:tcPr>
            <w:tcW w:w="371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发布病虫情报（期）</w:t>
            </w:r>
          </w:p>
        </w:tc>
        <w:tc>
          <w:tcPr>
            <w:tcW w:w="425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清理失管果园（亩）</w:t>
            </w:r>
          </w:p>
        </w:tc>
        <w:tc>
          <w:tcPr>
            <w:tcW w:w="425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清理半失管果园（亩）</w:t>
            </w:r>
          </w:p>
        </w:tc>
        <w:tc>
          <w:tcPr>
            <w:tcW w:w="372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清理病树（株）</w:t>
            </w:r>
          </w:p>
        </w:tc>
        <w:tc>
          <w:tcPr>
            <w:tcW w:w="425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专业砍伐队（个）</w:t>
            </w:r>
          </w:p>
        </w:tc>
        <w:tc>
          <w:tcPr>
            <w:tcW w:w="425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专业机防队（个）</w:t>
            </w:r>
          </w:p>
        </w:tc>
        <w:tc>
          <w:tcPr>
            <w:tcW w:w="584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将柑橘黄龙病防控纳入村规民约的村屯（个）</w:t>
            </w:r>
          </w:p>
        </w:tc>
        <w:tc>
          <w:tcPr>
            <w:tcW w:w="863" w:type="pct"/>
            <w:gridSpan w:val="2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黄龙病防控专项保险</w:t>
            </w:r>
          </w:p>
        </w:tc>
      </w:tr>
      <w:tr w:rsidR="00520064">
        <w:trPr>
          <w:trHeight w:val="376"/>
          <w:jc w:val="center"/>
        </w:trPr>
        <w:tc>
          <w:tcPr>
            <w:tcW w:w="276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05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Merge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Merge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参保面积（亩）</w:t>
            </w:r>
          </w:p>
        </w:tc>
        <w:tc>
          <w:tcPr>
            <w:tcW w:w="436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参保农户（人）</w:t>
            </w:r>
          </w:p>
        </w:tc>
      </w:tr>
      <w:tr w:rsidR="00520064">
        <w:trPr>
          <w:trHeight w:val="510"/>
          <w:jc w:val="center"/>
        </w:trPr>
        <w:tc>
          <w:tcPr>
            <w:tcW w:w="276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276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276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276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市合计</w:t>
            </w:r>
          </w:p>
        </w:tc>
        <w:tc>
          <w:tcPr>
            <w:tcW w:w="42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0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</w:tbl>
    <w:p w:rsidR="00520064" w:rsidRDefault="00000000">
      <w:pPr>
        <w:pStyle w:val="2"/>
        <w:ind w:firstLineChars="0" w:firstLine="0"/>
        <w:rPr>
          <w:rFonts w:ascii="Times New Roman" w:eastAsia="黑体" w:hAnsi="Times New Roman"/>
          <w:color w:val="000000"/>
        </w:rPr>
      </w:pPr>
      <w:r>
        <w:rPr>
          <w:rFonts w:ascii="Times New Roman" w:eastAsia="黑体" w:hAnsi="Times New Roman"/>
          <w:color w:val="000000"/>
        </w:rPr>
        <w:t>注：柑橘木虱防治面积包括冬季清园木虱防治和春梢木虱防治。</w:t>
      </w:r>
    </w:p>
    <w:p w:rsidR="00520064" w:rsidRDefault="00520064">
      <w:pPr>
        <w:pStyle w:val="2"/>
        <w:ind w:firstLineChars="0" w:firstLine="0"/>
        <w:rPr>
          <w:rFonts w:ascii="Times New Roman" w:hAnsi="Times New Roman"/>
          <w:color w:val="000000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863"/>
        <w:gridCol w:w="2796"/>
        <w:gridCol w:w="2651"/>
        <w:gridCol w:w="2358"/>
        <w:gridCol w:w="2428"/>
      </w:tblGrid>
      <w:tr w:rsidR="00520064">
        <w:trPr>
          <w:trHeight w:val="561"/>
          <w:jc w:val="center"/>
        </w:trPr>
        <w:tc>
          <w:tcPr>
            <w:tcW w:w="285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县（区）</w:t>
            </w:r>
          </w:p>
        </w:tc>
        <w:tc>
          <w:tcPr>
            <w:tcW w:w="2990" w:type="pct"/>
            <w:gridSpan w:val="3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检疫情况</w:t>
            </w:r>
          </w:p>
        </w:tc>
        <w:tc>
          <w:tcPr>
            <w:tcW w:w="1723" w:type="pct"/>
            <w:gridSpan w:val="2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示范区情况</w:t>
            </w:r>
          </w:p>
        </w:tc>
      </w:tr>
      <w:tr w:rsidR="00520064">
        <w:trPr>
          <w:trHeight w:val="639"/>
          <w:jc w:val="center"/>
        </w:trPr>
        <w:tc>
          <w:tcPr>
            <w:tcW w:w="285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0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实施产地检疫的柑橘种苗繁育基地（个）</w:t>
            </w:r>
          </w:p>
        </w:tc>
        <w:tc>
          <w:tcPr>
            <w:tcW w:w="1006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签发产地检疫合格证的种苗数量（万株）</w:t>
            </w:r>
          </w:p>
        </w:tc>
        <w:tc>
          <w:tcPr>
            <w:tcW w:w="953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签发植物检疫证书的种苗数量（万株）</w:t>
            </w:r>
          </w:p>
        </w:tc>
        <w:tc>
          <w:tcPr>
            <w:tcW w:w="849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示范区数量（个）</w:t>
            </w:r>
          </w:p>
        </w:tc>
        <w:tc>
          <w:tcPr>
            <w:tcW w:w="874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示范面积（亩）</w:t>
            </w:r>
          </w:p>
        </w:tc>
      </w:tr>
      <w:tr w:rsidR="00520064">
        <w:trPr>
          <w:trHeight w:val="510"/>
          <w:jc w:val="center"/>
        </w:trPr>
        <w:tc>
          <w:tcPr>
            <w:tcW w:w="285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285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03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285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03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285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市合计</w:t>
            </w:r>
          </w:p>
        </w:tc>
        <w:tc>
          <w:tcPr>
            <w:tcW w:w="1030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6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20064" w:rsidRDefault="00520064">
      <w:pPr>
        <w:rPr>
          <w:rFonts w:ascii="Times New Roman" w:hAnsi="Times New Roman" w:cs="Times New Roman"/>
          <w:color w:val="000000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434"/>
        <w:gridCol w:w="1345"/>
        <w:gridCol w:w="1429"/>
        <w:gridCol w:w="1457"/>
        <w:gridCol w:w="1446"/>
        <w:gridCol w:w="1469"/>
        <w:gridCol w:w="1458"/>
        <w:gridCol w:w="1458"/>
        <w:gridCol w:w="1600"/>
      </w:tblGrid>
      <w:tr w:rsidR="00520064">
        <w:trPr>
          <w:trHeight w:val="626"/>
          <w:jc w:val="center"/>
        </w:trPr>
        <w:tc>
          <w:tcPr>
            <w:tcW w:w="263" w:type="pct"/>
            <w:vMerge w:val="restar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市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县（区）</w:t>
            </w:r>
          </w:p>
        </w:tc>
        <w:tc>
          <w:tcPr>
            <w:tcW w:w="4736" w:type="pct"/>
            <w:gridSpan w:val="9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执法情况</w:t>
            </w:r>
          </w:p>
        </w:tc>
      </w:tr>
      <w:tr w:rsidR="00520064">
        <w:trPr>
          <w:trHeight w:val="551"/>
          <w:jc w:val="center"/>
        </w:trPr>
        <w:tc>
          <w:tcPr>
            <w:tcW w:w="263" w:type="pct"/>
            <w:vMerge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19" w:type="pct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开展执法检查</w:t>
            </w:r>
          </w:p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（次）</w:t>
            </w:r>
          </w:p>
        </w:tc>
        <w:tc>
          <w:tcPr>
            <w:tcW w:w="487" w:type="pct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出动执法人员</w:t>
            </w:r>
          </w:p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（人次）</w:t>
            </w:r>
          </w:p>
        </w:tc>
        <w:tc>
          <w:tcPr>
            <w:tcW w:w="517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检查苗木基地（个）</w:t>
            </w:r>
          </w:p>
        </w:tc>
        <w:tc>
          <w:tcPr>
            <w:tcW w:w="527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检查苗木市场（个）</w:t>
            </w:r>
          </w:p>
        </w:tc>
        <w:tc>
          <w:tcPr>
            <w:tcW w:w="523" w:type="pct"/>
            <w:vAlign w:val="center"/>
          </w:tcPr>
          <w:p w:rsidR="00520064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检查肥料、农药门店（个）</w:t>
            </w:r>
          </w:p>
        </w:tc>
        <w:tc>
          <w:tcPr>
            <w:tcW w:w="531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立案（个）</w:t>
            </w:r>
          </w:p>
        </w:tc>
        <w:tc>
          <w:tcPr>
            <w:tcW w:w="527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依法清理病树（株）</w:t>
            </w:r>
          </w:p>
        </w:tc>
        <w:tc>
          <w:tcPr>
            <w:tcW w:w="527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依法销毁病苗（株）</w:t>
            </w:r>
          </w:p>
        </w:tc>
        <w:tc>
          <w:tcPr>
            <w:tcW w:w="575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处罚金额（元）</w:t>
            </w:r>
          </w:p>
        </w:tc>
      </w:tr>
      <w:tr w:rsidR="00520064">
        <w:trPr>
          <w:trHeight w:val="510"/>
          <w:jc w:val="center"/>
        </w:trPr>
        <w:tc>
          <w:tcPr>
            <w:tcW w:w="263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519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263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519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263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519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0064">
        <w:trPr>
          <w:trHeight w:val="510"/>
          <w:jc w:val="center"/>
        </w:trPr>
        <w:tc>
          <w:tcPr>
            <w:tcW w:w="263" w:type="pct"/>
            <w:vAlign w:val="center"/>
          </w:tcPr>
          <w:p w:rsidR="00520064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**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市合计</w:t>
            </w:r>
          </w:p>
        </w:tc>
        <w:tc>
          <w:tcPr>
            <w:tcW w:w="519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vAlign w:val="center"/>
          </w:tcPr>
          <w:p w:rsidR="00520064" w:rsidRDefault="00520064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20064" w:rsidRDefault="00000000">
      <w:pPr>
        <w:pStyle w:val="2"/>
        <w:ind w:firstLineChars="0" w:firstLine="0"/>
        <w:rPr>
          <w:rFonts w:ascii="Times New Roman" w:eastAsia="黑体" w:hAnsi="Times New Roman" w:hint="eastAsia"/>
          <w:color w:val="000000"/>
        </w:rPr>
        <w:sectPr w:rsidR="00520064">
          <w:footerReference w:type="even" r:id="rId7"/>
          <w:footerReference w:type="default" r:id="rId8"/>
          <w:pgSz w:w="16838" w:h="11906" w:orient="landscape"/>
          <w:pgMar w:top="1588" w:right="1440" w:bottom="1287" w:left="1440" w:header="851" w:footer="992" w:gutter="0"/>
          <w:cols w:space="720"/>
          <w:docGrid w:type="lines" w:linePitch="312"/>
        </w:sectPr>
      </w:pPr>
      <w:r>
        <w:rPr>
          <w:rFonts w:ascii="Times New Roman" w:eastAsia="黑体" w:hAnsi="Times New Roman"/>
          <w:color w:val="000000"/>
        </w:rPr>
        <w:t>注：执法情况中</w:t>
      </w:r>
      <w:r>
        <w:rPr>
          <w:rFonts w:ascii="Times New Roman" w:eastAsia="黑体" w:hAnsi="Times New Roman"/>
          <w:color w:val="000000"/>
        </w:rPr>
        <w:t>“</w:t>
      </w:r>
      <w:r>
        <w:rPr>
          <w:rFonts w:ascii="Times New Roman" w:eastAsia="黑体" w:hAnsi="Times New Roman"/>
          <w:color w:val="000000"/>
        </w:rPr>
        <w:t>依法清理病树</w:t>
      </w:r>
      <w:r>
        <w:rPr>
          <w:rFonts w:ascii="Times New Roman" w:eastAsia="黑体" w:hAnsi="Times New Roman"/>
          <w:color w:val="000000"/>
        </w:rPr>
        <w:t>”</w:t>
      </w:r>
      <w:r>
        <w:rPr>
          <w:rFonts w:ascii="Times New Roman" w:eastAsia="黑体" w:hAnsi="Times New Roman"/>
          <w:color w:val="000000"/>
        </w:rPr>
        <w:t>指果农不配合或无法联系，由政府部门依据《广西壮族自治区柑橘黄龙病防控规定》统一组织清理病树的数量。</w:t>
      </w:r>
    </w:p>
    <w:p w:rsidR="00520064" w:rsidRDefault="00520064" w:rsidP="00A553CE">
      <w:pPr>
        <w:pStyle w:val="2"/>
        <w:snapToGrid w:val="0"/>
      </w:pPr>
    </w:p>
    <w:sectPr w:rsidR="00520064">
      <w:pgSz w:w="11906" w:h="16838"/>
      <w:pgMar w:top="1440" w:right="128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8D5" w:rsidRDefault="003D78D5">
      <w:r>
        <w:separator/>
      </w:r>
    </w:p>
  </w:endnote>
  <w:endnote w:type="continuationSeparator" w:id="0">
    <w:p w:rsidR="003D78D5" w:rsidRDefault="003D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06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0064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520064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06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0064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:rsidR="00520064" w:rsidRDefault="00000000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8D5" w:rsidRDefault="003D78D5">
      <w:r>
        <w:separator/>
      </w:r>
    </w:p>
  </w:footnote>
  <w:footnote w:type="continuationSeparator" w:id="0">
    <w:p w:rsidR="003D78D5" w:rsidRDefault="003D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FFFECE50"/>
    <w:rsid w:val="001A22AB"/>
    <w:rsid w:val="001A4E8C"/>
    <w:rsid w:val="003D78D5"/>
    <w:rsid w:val="00520064"/>
    <w:rsid w:val="00A553CE"/>
    <w:rsid w:val="00AA2125"/>
    <w:rsid w:val="00C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1D9087"/>
  <w15:docId w15:val="{46BE540D-3057-4486-9491-61AE6DDA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5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Pr>
      <w:b/>
      <w:color w:val="538135" w:themeColor="accent6" w:themeShade="BF"/>
      <w:sz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1325</Characters>
  <Application>Microsoft Office Word</Application>
  <DocSecurity>0</DocSecurity>
  <Lines>11</Lines>
  <Paragraphs>3</Paragraphs>
  <ScaleCrop>false</ScaleCrop>
  <Company>Yozosoft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feng ling</cp:lastModifiedBy>
  <cp:revision>2</cp:revision>
  <dcterms:created xsi:type="dcterms:W3CDTF">2024-02-20T01:36:00Z</dcterms:created>
  <dcterms:modified xsi:type="dcterms:W3CDTF">2024-02-20T01:36:00Z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