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75AACE">
      <w:pPr>
        <w:spacing w:line="50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附件1</w:t>
      </w:r>
    </w:p>
    <w:p w14:paraId="0AA87E6B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广西科学技术奖提名及形审公示表</w:t>
      </w:r>
    </w:p>
    <w:p w14:paraId="160A84E1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</w:p>
    <w:tbl>
      <w:tblPr>
        <w:tblStyle w:val="7"/>
        <w:tblpPr w:leftFromText="180" w:rightFromText="180" w:vertAnchor="text" w:horzAnchor="page" w:tblpXSpec="center" w:tblpY="215"/>
        <w:tblOverlap w:val="never"/>
        <w:tblW w:w="998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582"/>
        <w:gridCol w:w="383"/>
        <w:gridCol w:w="960"/>
        <w:gridCol w:w="795"/>
        <w:gridCol w:w="660"/>
        <w:gridCol w:w="885"/>
        <w:gridCol w:w="885"/>
        <w:gridCol w:w="1980"/>
        <w:gridCol w:w="765"/>
        <w:gridCol w:w="880"/>
      </w:tblGrid>
      <w:tr w14:paraId="79C8918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1787" w:type="dxa"/>
            <w:gridSpan w:val="2"/>
            <w:vAlign w:val="center"/>
          </w:tcPr>
          <w:p w14:paraId="46D4B061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成果名称</w:t>
            </w:r>
          </w:p>
        </w:tc>
        <w:tc>
          <w:tcPr>
            <w:tcW w:w="8193" w:type="dxa"/>
            <w:gridSpan w:val="9"/>
            <w:vAlign w:val="center"/>
          </w:tcPr>
          <w:p w14:paraId="15C4FC54">
            <w:pPr>
              <w:spacing w:line="360" w:lineRule="exact"/>
              <w:ind w:firstLine="420" w:firstLineChars="20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广西地方品种家畜种质资源关键保护技术集成与推广应用</w:t>
            </w:r>
          </w:p>
        </w:tc>
      </w:tr>
      <w:tr w14:paraId="7381AE3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1787" w:type="dxa"/>
            <w:gridSpan w:val="2"/>
            <w:vAlign w:val="center"/>
          </w:tcPr>
          <w:p w14:paraId="2E44ACB6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候选个人</w:t>
            </w:r>
          </w:p>
          <w:p w14:paraId="4091E20A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（完成人）</w:t>
            </w:r>
          </w:p>
        </w:tc>
        <w:tc>
          <w:tcPr>
            <w:tcW w:w="8193" w:type="dxa"/>
            <w:gridSpan w:val="9"/>
            <w:vAlign w:val="center"/>
          </w:tcPr>
          <w:p w14:paraId="0353152B">
            <w:pPr>
              <w:spacing w:line="360" w:lineRule="exact"/>
              <w:ind w:firstLine="420" w:firstLineChars="200"/>
              <w:jc w:val="center"/>
              <w:rPr>
                <w:rFonts w:hint="default" w:ascii="仿宋_GB2312" w:hAnsi="仿宋_GB2312" w:eastAsia="仿宋_GB2312" w:cs="仿宋_GB2312"/>
                <w:color w:val="auto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洪绍锋、刘瑞鑫、邓祝新、许春荣、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刘德玉、李芳芳、黄丽云、漆爱荣、韦慧华、许鹏</w:t>
            </w:r>
          </w:p>
        </w:tc>
      </w:tr>
      <w:tr w14:paraId="6D47235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787" w:type="dxa"/>
            <w:gridSpan w:val="2"/>
            <w:vAlign w:val="center"/>
          </w:tcPr>
          <w:p w14:paraId="4FCE6A51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候选组织</w:t>
            </w:r>
          </w:p>
          <w:p w14:paraId="317CF1E3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（完成单位）</w:t>
            </w:r>
          </w:p>
        </w:tc>
        <w:tc>
          <w:tcPr>
            <w:tcW w:w="8193" w:type="dxa"/>
            <w:gridSpan w:val="9"/>
            <w:vAlign w:val="center"/>
          </w:tcPr>
          <w:p w14:paraId="1CE6D2D4">
            <w:pPr>
              <w:spacing w:line="360" w:lineRule="exact"/>
              <w:ind w:firstLine="420" w:firstLineChars="200"/>
              <w:jc w:val="center"/>
              <w:rPr>
                <w:rFonts w:hint="default" w:ascii="仿宋_GB2312" w:hAnsi="仿宋_GB2312" w:eastAsia="仿宋_GB2312" w:cs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广西壮族自治区畜禽品种改良站</w:t>
            </w:r>
          </w:p>
        </w:tc>
      </w:tr>
      <w:tr w14:paraId="33F7BB6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1787" w:type="dxa"/>
            <w:gridSpan w:val="2"/>
            <w:vAlign w:val="center"/>
          </w:tcPr>
          <w:p w14:paraId="1550DEE0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提 名 者</w:t>
            </w:r>
          </w:p>
        </w:tc>
        <w:tc>
          <w:tcPr>
            <w:tcW w:w="8193" w:type="dxa"/>
            <w:gridSpan w:val="9"/>
            <w:vAlign w:val="center"/>
          </w:tcPr>
          <w:p w14:paraId="1DF8B44C">
            <w:pPr>
              <w:spacing w:line="360" w:lineRule="exact"/>
              <w:ind w:firstLine="560" w:firstLineChars="200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自治区农业农村厅</w:t>
            </w:r>
          </w:p>
        </w:tc>
      </w:tr>
      <w:tr w14:paraId="4C9A686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70C5FFB7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auto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t>知识产权（标准）类别</w:t>
            </w:r>
          </w:p>
        </w:tc>
        <w:tc>
          <w:tcPr>
            <w:tcW w:w="965" w:type="dxa"/>
            <w:gridSpan w:val="2"/>
            <w:tcMar>
              <w:left w:w="57" w:type="dxa"/>
              <w:right w:w="57" w:type="dxa"/>
            </w:tcMar>
            <w:vAlign w:val="center"/>
          </w:tcPr>
          <w:p w14:paraId="4DDC6464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auto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t>知识产权（标准）具体名称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2F1C20AC">
            <w:pPr>
              <w:spacing w:line="260" w:lineRule="exact"/>
              <w:jc w:val="center"/>
              <w:rPr>
                <w:rFonts w:ascii="黑体" w:hAnsi="黑体" w:eastAsia="黑体" w:cs="黑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t>国家</w:t>
            </w:r>
          </w:p>
          <w:p w14:paraId="664C88D3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auto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t>（地区）</w:t>
            </w:r>
          </w:p>
        </w:tc>
        <w:tc>
          <w:tcPr>
            <w:tcW w:w="795" w:type="dxa"/>
            <w:tcMar>
              <w:left w:w="57" w:type="dxa"/>
              <w:right w:w="57" w:type="dxa"/>
            </w:tcMar>
            <w:vAlign w:val="center"/>
          </w:tcPr>
          <w:p w14:paraId="191ED89B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auto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t>授权号（标准编号）</w:t>
            </w:r>
          </w:p>
        </w:tc>
        <w:tc>
          <w:tcPr>
            <w:tcW w:w="660" w:type="dxa"/>
            <w:tcMar>
              <w:left w:w="57" w:type="dxa"/>
              <w:right w:w="57" w:type="dxa"/>
            </w:tcMar>
            <w:vAlign w:val="center"/>
          </w:tcPr>
          <w:p w14:paraId="75B40CEC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auto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t>授权（标准发布）日期</w:t>
            </w:r>
          </w:p>
        </w:tc>
        <w:tc>
          <w:tcPr>
            <w:tcW w:w="885" w:type="dxa"/>
            <w:tcMar>
              <w:left w:w="57" w:type="dxa"/>
              <w:right w:w="57" w:type="dxa"/>
            </w:tcMar>
            <w:vAlign w:val="center"/>
          </w:tcPr>
          <w:p w14:paraId="66365237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auto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t>证书编号</w:t>
            </w: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t>（标准批准发布部门）</w:t>
            </w:r>
          </w:p>
        </w:tc>
        <w:tc>
          <w:tcPr>
            <w:tcW w:w="885" w:type="dxa"/>
            <w:tcMar>
              <w:left w:w="57" w:type="dxa"/>
              <w:right w:w="57" w:type="dxa"/>
            </w:tcMar>
            <w:vAlign w:val="center"/>
          </w:tcPr>
          <w:p w14:paraId="51A18E96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auto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t>权利人（标准起草单位）</w:t>
            </w:r>
          </w:p>
        </w:tc>
        <w:tc>
          <w:tcPr>
            <w:tcW w:w="1980" w:type="dxa"/>
            <w:tcMar>
              <w:left w:w="57" w:type="dxa"/>
              <w:right w:w="57" w:type="dxa"/>
            </w:tcMar>
            <w:vAlign w:val="center"/>
          </w:tcPr>
          <w:p w14:paraId="672E3099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auto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t>发明人（标准起草人）</w:t>
            </w:r>
          </w:p>
        </w:tc>
        <w:tc>
          <w:tcPr>
            <w:tcW w:w="765" w:type="dxa"/>
            <w:tcMar>
              <w:left w:w="57" w:type="dxa"/>
              <w:right w:w="57" w:type="dxa"/>
            </w:tcMar>
            <w:vAlign w:val="center"/>
          </w:tcPr>
          <w:p w14:paraId="07D19DC6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auto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t>发明专利（标准）有效状态</w:t>
            </w:r>
          </w:p>
        </w:tc>
        <w:tc>
          <w:tcPr>
            <w:tcW w:w="880" w:type="dxa"/>
            <w:tcMar>
              <w:left w:w="57" w:type="dxa"/>
              <w:right w:w="57" w:type="dxa"/>
            </w:tcMar>
            <w:vAlign w:val="center"/>
          </w:tcPr>
          <w:p w14:paraId="050CD609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auto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t>广西单位是否为原始权利人、起草人</w:t>
            </w:r>
          </w:p>
        </w:tc>
      </w:tr>
      <w:tr w14:paraId="06320ED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0A44F773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发明专利</w:t>
            </w:r>
          </w:p>
        </w:tc>
        <w:tc>
          <w:tcPr>
            <w:tcW w:w="965" w:type="dxa"/>
            <w:gridSpan w:val="2"/>
            <w:tcMar>
              <w:left w:w="57" w:type="dxa"/>
              <w:right w:w="57" w:type="dxa"/>
            </w:tcMar>
            <w:vAlign w:val="center"/>
          </w:tcPr>
          <w:p w14:paraId="388B76BB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一种带有称重功能的兽医治疗保定架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5CF498BE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中国</w:t>
            </w:r>
          </w:p>
        </w:tc>
        <w:tc>
          <w:tcPr>
            <w:tcW w:w="795" w:type="dxa"/>
            <w:tcMar>
              <w:left w:w="57" w:type="dxa"/>
              <w:right w:w="57" w:type="dxa"/>
            </w:tcMar>
            <w:vAlign w:val="center"/>
          </w:tcPr>
          <w:p w14:paraId="1B8DD00B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ZL202110358859.X</w:t>
            </w:r>
          </w:p>
        </w:tc>
        <w:tc>
          <w:tcPr>
            <w:tcW w:w="660" w:type="dxa"/>
            <w:tcMar>
              <w:left w:w="57" w:type="dxa"/>
              <w:right w:w="57" w:type="dxa"/>
            </w:tcMar>
            <w:vAlign w:val="center"/>
          </w:tcPr>
          <w:p w14:paraId="425AA22C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2022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10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11</w:t>
            </w:r>
          </w:p>
        </w:tc>
        <w:tc>
          <w:tcPr>
            <w:tcW w:w="885" w:type="dxa"/>
            <w:tcMar>
              <w:left w:w="57" w:type="dxa"/>
              <w:right w:w="57" w:type="dxa"/>
            </w:tcMar>
            <w:vAlign w:val="center"/>
          </w:tcPr>
          <w:p w14:paraId="6180EE63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第5505556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号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（国家知识产权局）</w:t>
            </w:r>
          </w:p>
        </w:tc>
        <w:tc>
          <w:tcPr>
            <w:tcW w:w="885" w:type="dxa"/>
            <w:tcMar>
              <w:left w:w="57" w:type="dxa"/>
              <w:right w:w="57" w:type="dxa"/>
            </w:tcMar>
            <w:vAlign w:val="center"/>
          </w:tcPr>
          <w:p w14:paraId="5FD38A88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广西壮族自治区畜禽品种改良站</w:t>
            </w:r>
          </w:p>
        </w:tc>
        <w:tc>
          <w:tcPr>
            <w:tcW w:w="1980" w:type="dxa"/>
            <w:tcMar>
              <w:left w:w="57" w:type="dxa"/>
              <w:right w:w="57" w:type="dxa"/>
            </w:tcMar>
            <w:vAlign w:val="center"/>
          </w:tcPr>
          <w:p w14:paraId="071DF9EF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邓祝新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方奕雄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韦小献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李芳芳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许春荣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李铭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刘瑞鑫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刘德玉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韦慧华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黄晓霞</w:t>
            </w:r>
          </w:p>
        </w:tc>
        <w:tc>
          <w:tcPr>
            <w:tcW w:w="765" w:type="dxa"/>
            <w:tcMar>
              <w:left w:w="57" w:type="dxa"/>
              <w:right w:w="57" w:type="dxa"/>
            </w:tcMar>
            <w:vAlign w:val="center"/>
          </w:tcPr>
          <w:p w14:paraId="4F449864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有效</w:t>
            </w:r>
          </w:p>
        </w:tc>
        <w:tc>
          <w:tcPr>
            <w:tcW w:w="880" w:type="dxa"/>
            <w:tcMar>
              <w:left w:w="57" w:type="dxa"/>
              <w:right w:w="57" w:type="dxa"/>
            </w:tcMar>
            <w:vAlign w:val="center"/>
          </w:tcPr>
          <w:p w14:paraId="38369E11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是</w:t>
            </w:r>
          </w:p>
        </w:tc>
      </w:tr>
      <w:tr w14:paraId="383DBE0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3445FF5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发明专利</w:t>
            </w:r>
          </w:p>
        </w:tc>
        <w:tc>
          <w:tcPr>
            <w:tcW w:w="965" w:type="dxa"/>
            <w:gridSpan w:val="2"/>
            <w:tcMar>
              <w:left w:w="57" w:type="dxa"/>
              <w:right w:w="57" w:type="dxa"/>
            </w:tcMar>
            <w:vAlign w:val="center"/>
          </w:tcPr>
          <w:p w14:paraId="36F530E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一种可移动肉牛修蹄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、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性能检测装置及方法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75F9F69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中国</w:t>
            </w:r>
          </w:p>
        </w:tc>
        <w:tc>
          <w:tcPr>
            <w:tcW w:w="795" w:type="dxa"/>
            <w:tcMar>
              <w:left w:w="57" w:type="dxa"/>
              <w:right w:w="57" w:type="dxa"/>
            </w:tcMar>
            <w:vAlign w:val="center"/>
          </w:tcPr>
          <w:p w14:paraId="46B3727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ZL202210103471.X</w:t>
            </w:r>
          </w:p>
        </w:tc>
        <w:tc>
          <w:tcPr>
            <w:tcW w:w="660" w:type="dxa"/>
            <w:tcMar>
              <w:left w:w="57" w:type="dxa"/>
              <w:right w:w="57" w:type="dxa"/>
            </w:tcMar>
            <w:vAlign w:val="center"/>
          </w:tcPr>
          <w:p w14:paraId="210B52B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2023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-0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-0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85" w:type="dxa"/>
            <w:tcMar>
              <w:left w:w="57" w:type="dxa"/>
              <w:right w:w="57" w:type="dxa"/>
            </w:tcMar>
            <w:vAlign w:val="center"/>
          </w:tcPr>
          <w:p w14:paraId="77E9666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第5939982号（国家知识产权局）</w:t>
            </w:r>
          </w:p>
        </w:tc>
        <w:tc>
          <w:tcPr>
            <w:tcW w:w="885" w:type="dxa"/>
            <w:tcMar>
              <w:left w:w="57" w:type="dxa"/>
              <w:right w:w="57" w:type="dxa"/>
            </w:tcMar>
            <w:vAlign w:val="center"/>
          </w:tcPr>
          <w:p w14:paraId="14A62A8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广西壮族自治区畜禽品种改良站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灌阳腾飞牛业发展专业合作社</w:t>
            </w:r>
          </w:p>
        </w:tc>
        <w:tc>
          <w:tcPr>
            <w:tcW w:w="1980" w:type="dxa"/>
            <w:tcMar>
              <w:left w:w="57" w:type="dxa"/>
              <w:right w:w="57" w:type="dxa"/>
            </w:tcMar>
            <w:vAlign w:val="center"/>
          </w:tcPr>
          <w:p w14:paraId="10F742F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王英群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蒋世强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卿红旗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刘瑞鑫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邓祝新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许春荣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方奕雄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李美珍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魏莎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陆荣宝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谢燕妮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洪绍锋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漆爱荣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韦慧华</w:t>
            </w:r>
          </w:p>
        </w:tc>
        <w:tc>
          <w:tcPr>
            <w:tcW w:w="765" w:type="dxa"/>
            <w:tcMar>
              <w:left w:w="57" w:type="dxa"/>
              <w:right w:w="57" w:type="dxa"/>
            </w:tcMar>
            <w:vAlign w:val="center"/>
          </w:tcPr>
          <w:p w14:paraId="1C0100F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有效</w:t>
            </w:r>
          </w:p>
        </w:tc>
        <w:tc>
          <w:tcPr>
            <w:tcW w:w="880" w:type="dxa"/>
            <w:tcMar>
              <w:left w:w="57" w:type="dxa"/>
              <w:right w:w="57" w:type="dxa"/>
            </w:tcMar>
            <w:vAlign w:val="center"/>
          </w:tcPr>
          <w:p w14:paraId="366C847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 w14:paraId="08EB97D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06CC4241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实用新型专利</w:t>
            </w:r>
          </w:p>
        </w:tc>
        <w:tc>
          <w:tcPr>
            <w:tcW w:w="965" w:type="dxa"/>
            <w:gridSpan w:val="2"/>
            <w:tcMar>
              <w:left w:w="57" w:type="dxa"/>
              <w:right w:w="57" w:type="dxa"/>
            </w:tcMar>
            <w:vAlign w:val="center"/>
          </w:tcPr>
          <w:p w14:paraId="77BCAFB1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一种可控温的简易羊精液冷冻装置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7BEA15E7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中国</w:t>
            </w:r>
          </w:p>
        </w:tc>
        <w:tc>
          <w:tcPr>
            <w:tcW w:w="795" w:type="dxa"/>
            <w:tcMar>
              <w:left w:w="57" w:type="dxa"/>
              <w:right w:w="57" w:type="dxa"/>
            </w:tcMar>
            <w:vAlign w:val="center"/>
          </w:tcPr>
          <w:p w14:paraId="246EF75F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ZL202122430957.8</w:t>
            </w:r>
          </w:p>
        </w:tc>
        <w:tc>
          <w:tcPr>
            <w:tcW w:w="660" w:type="dxa"/>
            <w:tcMar>
              <w:left w:w="57" w:type="dxa"/>
              <w:right w:w="57" w:type="dxa"/>
            </w:tcMar>
            <w:vAlign w:val="center"/>
          </w:tcPr>
          <w:p w14:paraId="1A7168AD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2022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03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22</w:t>
            </w:r>
          </w:p>
        </w:tc>
        <w:tc>
          <w:tcPr>
            <w:tcW w:w="885" w:type="dxa"/>
            <w:tcMar>
              <w:left w:w="57" w:type="dxa"/>
              <w:right w:w="57" w:type="dxa"/>
            </w:tcMar>
            <w:vAlign w:val="center"/>
          </w:tcPr>
          <w:p w14:paraId="42B287E4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第16102022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号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（国家知识产权局）</w:t>
            </w:r>
          </w:p>
        </w:tc>
        <w:tc>
          <w:tcPr>
            <w:tcW w:w="885" w:type="dxa"/>
            <w:tcMar>
              <w:left w:w="57" w:type="dxa"/>
              <w:right w:w="57" w:type="dxa"/>
            </w:tcMar>
            <w:vAlign w:val="center"/>
          </w:tcPr>
          <w:p w14:paraId="7A0AC562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广西壮族自治区畜禽品种改良站</w:t>
            </w:r>
          </w:p>
        </w:tc>
        <w:tc>
          <w:tcPr>
            <w:tcW w:w="1980" w:type="dxa"/>
            <w:tcMar>
              <w:left w:w="57" w:type="dxa"/>
              <w:right w:w="57" w:type="dxa"/>
            </w:tcMar>
            <w:vAlign w:val="center"/>
          </w:tcPr>
          <w:p w14:paraId="5284C386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邓祝新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魏莎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李美珍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彭燕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冯显玲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许鹏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覃孝杰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李芳芳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李铭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刘瑞鑫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刘德玉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许春荣</w:t>
            </w:r>
          </w:p>
        </w:tc>
        <w:tc>
          <w:tcPr>
            <w:tcW w:w="765" w:type="dxa"/>
            <w:tcMar>
              <w:left w:w="57" w:type="dxa"/>
              <w:right w:w="57" w:type="dxa"/>
            </w:tcMar>
            <w:vAlign w:val="center"/>
          </w:tcPr>
          <w:p w14:paraId="6BFA76B4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有效</w:t>
            </w:r>
          </w:p>
        </w:tc>
        <w:tc>
          <w:tcPr>
            <w:tcW w:w="880" w:type="dxa"/>
            <w:tcMar>
              <w:left w:w="57" w:type="dxa"/>
              <w:right w:w="57" w:type="dxa"/>
            </w:tcMar>
            <w:vAlign w:val="center"/>
          </w:tcPr>
          <w:p w14:paraId="5250FB1B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是</w:t>
            </w:r>
          </w:p>
        </w:tc>
      </w:tr>
      <w:tr w14:paraId="7742F4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42C4C02E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实用新型专利</w:t>
            </w:r>
          </w:p>
        </w:tc>
        <w:tc>
          <w:tcPr>
            <w:tcW w:w="965" w:type="dxa"/>
            <w:gridSpan w:val="2"/>
            <w:tcMar>
              <w:left w:w="57" w:type="dxa"/>
              <w:right w:w="57" w:type="dxa"/>
            </w:tcMar>
            <w:vAlign w:val="center"/>
          </w:tcPr>
          <w:p w14:paraId="7B39855C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一种新型山羊采精装置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5F340696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中国</w:t>
            </w:r>
          </w:p>
        </w:tc>
        <w:tc>
          <w:tcPr>
            <w:tcW w:w="795" w:type="dxa"/>
            <w:tcMar>
              <w:left w:w="57" w:type="dxa"/>
              <w:right w:w="57" w:type="dxa"/>
            </w:tcMar>
            <w:vAlign w:val="center"/>
          </w:tcPr>
          <w:p w14:paraId="3BBA43D6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ZL202022803324.2</w:t>
            </w:r>
          </w:p>
        </w:tc>
        <w:tc>
          <w:tcPr>
            <w:tcW w:w="660" w:type="dxa"/>
            <w:tcMar>
              <w:left w:w="57" w:type="dxa"/>
              <w:right w:w="57" w:type="dxa"/>
            </w:tcMar>
            <w:vAlign w:val="center"/>
          </w:tcPr>
          <w:p w14:paraId="61658CA8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2021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09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14</w:t>
            </w:r>
          </w:p>
        </w:tc>
        <w:tc>
          <w:tcPr>
            <w:tcW w:w="885" w:type="dxa"/>
            <w:tcMar>
              <w:left w:w="57" w:type="dxa"/>
              <w:right w:w="57" w:type="dxa"/>
            </w:tcMar>
            <w:vAlign w:val="center"/>
          </w:tcPr>
          <w:p w14:paraId="641660D8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第14166990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号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（国家知识产权局）</w:t>
            </w:r>
          </w:p>
        </w:tc>
        <w:tc>
          <w:tcPr>
            <w:tcW w:w="885" w:type="dxa"/>
            <w:tcMar>
              <w:left w:w="57" w:type="dxa"/>
              <w:right w:w="57" w:type="dxa"/>
            </w:tcMar>
            <w:vAlign w:val="center"/>
          </w:tcPr>
          <w:p w14:paraId="7722C9AF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广西壮族自治区畜禽品种改良站</w:t>
            </w:r>
          </w:p>
        </w:tc>
        <w:tc>
          <w:tcPr>
            <w:tcW w:w="1980" w:type="dxa"/>
            <w:tcMar>
              <w:left w:w="57" w:type="dxa"/>
              <w:right w:w="57" w:type="dxa"/>
            </w:tcMar>
            <w:vAlign w:val="center"/>
          </w:tcPr>
          <w:p w14:paraId="13EF1563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邓祝新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许鹏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魏莎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李芳芳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彭燕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覃孝杰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许春荣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李铭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刘瑞鑫</w:t>
            </w:r>
          </w:p>
        </w:tc>
        <w:tc>
          <w:tcPr>
            <w:tcW w:w="765" w:type="dxa"/>
            <w:tcMar>
              <w:left w:w="57" w:type="dxa"/>
              <w:right w:w="57" w:type="dxa"/>
            </w:tcMar>
            <w:vAlign w:val="center"/>
          </w:tcPr>
          <w:p w14:paraId="35A7BBDA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有效</w:t>
            </w:r>
          </w:p>
        </w:tc>
        <w:tc>
          <w:tcPr>
            <w:tcW w:w="880" w:type="dxa"/>
            <w:tcMar>
              <w:left w:w="57" w:type="dxa"/>
              <w:right w:w="57" w:type="dxa"/>
            </w:tcMar>
            <w:vAlign w:val="center"/>
          </w:tcPr>
          <w:p w14:paraId="524D515A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是</w:t>
            </w:r>
          </w:p>
        </w:tc>
      </w:tr>
      <w:tr w14:paraId="7ED7ACA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6FC3DEE0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实用新型专利</w:t>
            </w:r>
          </w:p>
        </w:tc>
        <w:tc>
          <w:tcPr>
            <w:tcW w:w="965" w:type="dxa"/>
            <w:gridSpan w:val="2"/>
            <w:tcMar>
              <w:left w:w="57" w:type="dxa"/>
              <w:right w:w="57" w:type="dxa"/>
            </w:tcMar>
            <w:vAlign w:val="center"/>
          </w:tcPr>
          <w:p w14:paraId="4BFDD923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一种种猪精液自动采集装置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4AC2CF8D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中国</w:t>
            </w:r>
          </w:p>
        </w:tc>
        <w:tc>
          <w:tcPr>
            <w:tcW w:w="795" w:type="dxa"/>
            <w:tcMar>
              <w:left w:w="57" w:type="dxa"/>
              <w:right w:w="57" w:type="dxa"/>
            </w:tcMar>
            <w:vAlign w:val="center"/>
          </w:tcPr>
          <w:p w14:paraId="03BE2220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ZL202222493726.6</w:t>
            </w:r>
          </w:p>
        </w:tc>
        <w:tc>
          <w:tcPr>
            <w:tcW w:w="660" w:type="dxa"/>
            <w:tcMar>
              <w:left w:w="57" w:type="dxa"/>
              <w:right w:w="57" w:type="dxa"/>
            </w:tcMar>
            <w:vAlign w:val="center"/>
          </w:tcPr>
          <w:p w14:paraId="214C8E5C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2023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05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26</w:t>
            </w:r>
          </w:p>
        </w:tc>
        <w:tc>
          <w:tcPr>
            <w:tcW w:w="885" w:type="dxa"/>
            <w:tcMar>
              <w:left w:w="57" w:type="dxa"/>
              <w:right w:w="57" w:type="dxa"/>
            </w:tcMar>
            <w:vAlign w:val="center"/>
          </w:tcPr>
          <w:p w14:paraId="1E363051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第19065908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号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（国家知识产权局）</w:t>
            </w:r>
          </w:p>
        </w:tc>
        <w:tc>
          <w:tcPr>
            <w:tcW w:w="885" w:type="dxa"/>
            <w:tcMar>
              <w:left w:w="57" w:type="dxa"/>
              <w:right w:w="57" w:type="dxa"/>
            </w:tcMar>
            <w:vAlign w:val="center"/>
          </w:tcPr>
          <w:p w14:paraId="0007C4C8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广西壮族自治区畜禽品种改良站</w:t>
            </w:r>
          </w:p>
        </w:tc>
        <w:tc>
          <w:tcPr>
            <w:tcW w:w="1980" w:type="dxa"/>
            <w:tcMar>
              <w:left w:w="57" w:type="dxa"/>
              <w:right w:w="57" w:type="dxa"/>
            </w:tcMar>
            <w:vAlign w:val="center"/>
          </w:tcPr>
          <w:p w14:paraId="70FB8C63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洪绍锋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蒋世强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王英群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王国利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刘瑞鑫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唐荣福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李芳芳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许春荣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刘德玉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唐胤晟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邓祝新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邹乐勤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梁志敏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黄子诚</w:t>
            </w:r>
          </w:p>
        </w:tc>
        <w:tc>
          <w:tcPr>
            <w:tcW w:w="765" w:type="dxa"/>
            <w:tcMar>
              <w:left w:w="57" w:type="dxa"/>
              <w:right w:w="57" w:type="dxa"/>
            </w:tcMar>
            <w:vAlign w:val="center"/>
          </w:tcPr>
          <w:p w14:paraId="17FA744D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有效</w:t>
            </w:r>
          </w:p>
        </w:tc>
        <w:tc>
          <w:tcPr>
            <w:tcW w:w="880" w:type="dxa"/>
            <w:tcMar>
              <w:left w:w="57" w:type="dxa"/>
              <w:right w:w="57" w:type="dxa"/>
            </w:tcMar>
            <w:vAlign w:val="center"/>
          </w:tcPr>
          <w:p w14:paraId="242FAC4D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是</w:t>
            </w:r>
          </w:p>
        </w:tc>
      </w:tr>
      <w:tr w14:paraId="30D92E8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416D9A3A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实用新型专利</w:t>
            </w:r>
          </w:p>
        </w:tc>
        <w:tc>
          <w:tcPr>
            <w:tcW w:w="965" w:type="dxa"/>
            <w:gridSpan w:val="2"/>
            <w:tcMar>
              <w:left w:w="57" w:type="dxa"/>
              <w:right w:w="57" w:type="dxa"/>
            </w:tcMar>
            <w:vAlign w:val="center"/>
          </w:tcPr>
          <w:p w14:paraId="06665E69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一种具有防护功能的公牛采精架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1581D97F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中国</w:t>
            </w:r>
          </w:p>
        </w:tc>
        <w:tc>
          <w:tcPr>
            <w:tcW w:w="795" w:type="dxa"/>
            <w:tcMar>
              <w:left w:w="57" w:type="dxa"/>
              <w:right w:w="57" w:type="dxa"/>
            </w:tcMar>
            <w:vAlign w:val="center"/>
          </w:tcPr>
          <w:p w14:paraId="3E457852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ZL201920053090.9</w:t>
            </w:r>
          </w:p>
        </w:tc>
        <w:tc>
          <w:tcPr>
            <w:tcW w:w="660" w:type="dxa"/>
            <w:tcMar>
              <w:left w:w="57" w:type="dxa"/>
              <w:right w:w="57" w:type="dxa"/>
            </w:tcMar>
            <w:vAlign w:val="center"/>
          </w:tcPr>
          <w:p w14:paraId="5B2FE8A2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2020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04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03</w:t>
            </w:r>
          </w:p>
        </w:tc>
        <w:tc>
          <w:tcPr>
            <w:tcW w:w="885" w:type="dxa"/>
            <w:tcMar>
              <w:left w:w="57" w:type="dxa"/>
              <w:right w:w="57" w:type="dxa"/>
            </w:tcMar>
            <w:vAlign w:val="center"/>
          </w:tcPr>
          <w:p w14:paraId="61DFFBFC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第10223651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号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（国家知识产权局）</w:t>
            </w:r>
          </w:p>
        </w:tc>
        <w:tc>
          <w:tcPr>
            <w:tcW w:w="885" w:type="dxa"/>
            <w:tcMar>
              <w:left w:w="57" w:type="dxa"/>
              <w:right w:w="57" w:type="dxa"/>
            </w:tcMar>
            <w:vAlign w:val="center"/>
          </w:tcPr>
          <w:p w14:paraId="0DC7D36D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广西壮族自治区畜禽品种改良站</w:t>
            </w:r>
          </w:p>
        </w:tc>
        <w:tc>
          <w:tcPr>
            <w:tcW w:w="1980" w:type="dxa"/>
            <w:tcMar>
              <w:left w:w="57" w:type="dxa"/>
              <w:right w:w="57" w:type="dxa"/>
            </w:tcMar>
            <w:vAlign w:val="center"/>
          </w:tcPr>
          <w:p w14:paraId="3FA71BE7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许春荣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李铭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刘瑞鑫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彭夏云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刘德玉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何复明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覃孝杰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洪绍锋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邓祝新</w:t>
            </w:r>
          </w:p>
        </w:tc>
        <w:tc>
          <w:tcPr>
            <w:tcW w:w="765" w:type="dxa"/>
            <w:tcMar>
              <w:left w:w="57" w:type="dxa"/>
              <w:right w:w="57" w:type="dxa"/>
            </w:tcMar>
            <w:vAlign w:val="center"/>
          </w:tcPr>
          <w:p w14:paraId="43B3051A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有效</w:t>
            </w:r>
          </w:p>
        </w:tc>
        <w:tc>
          <w:tcPr>
            <w:tcW w:w="880" w:type="dxa"/>
            <w:tcMar>
              <w:left w:w="57" w:type="dxa"/>
              <w:right w:w="57" w:type="dxa"/>
            </w:tcMar>
            <w:vAlign w:val="center"/>
          </w:tcPr>
          <w:p w14:paraId="7B72C5DC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是</w:t>
            </w:r>
          </w:p>
        </w:tc>
      </w:tr>
      <w:tr w14:paraId="39E58D8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474FC466"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实用新型专利</w:t>
            </w:r>
          </w:p>
        </w:tc>
        <w:tc>
          <w:tcPr>
            <w:tcW w:w="965" w:type="dxa"/>
            <w:gridSpan w:val="2"/>
            <w:tcMar>
              <w:left w:w="57" w:type="dxa"/>
              <w:right w:w="57" w:type="dxa"/>
            </w:tcMar>
            <w:vAlign w:val="center"/>
          </w:tcPr>
          <w:p w14:paraId="3C283A4F"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一种便携式精液冷冻仪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3D4897B6"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中国</w:t>
            </w:r>
          </w:p>
        </w:tc>
        <w:tc>
          <w:tcPr>
            <w:tcW w:w="795" w:type="dxa"/>
            <w:tcMar>
              <w:left w:w="57" w:type="dxa"/>
              <w:right w:w="57" w:type="dxa"/>
            </w:tcMar>
            <w:vAlign w:val="center"/>
          </w:tcPr>
          <w:p w14:paraId="68F74943"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ZL20232 3389686.1</w:t>
            </w:r>
          </w:p>
        </w:tc>
        <w:tc>
          <w:tcPr>
            <w:tcW w:w="660" w:type="dxa"/>
            <w:tcMar>
              <w:left w:w="57" w:type="dxa"/>
              <w:right w:w="57" w:type="dxa"/>
            </w:tcMar>
            <w:vAlign w:val="center"/>
          </w:tcPr>
          <w:p w14:paraId="70CF8F1B"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2023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885" w:type="dxa"/>
            <w:tcMar>
              <w:left w:w="57" w:type="dxa"/>
              <w:right w:w="57" w:type="dxa"/>
            </w:tcMar>
            <w:vAlign w:val="center"/>
          </w:tcPr>
          <w:p w14:paraId="75880D42"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第22188286号（国家知识产权局）</w:t>
            </w:r>
          </w:p>
        </w:tc>
        <w:tc>
          <w:tcPr>
            <w:tcW w:w="885" w:type="dxa"/>
            <w:tcMar>
              <w:left w:w="57" w:type="dxa"/>
              <w:right w:w="57" w:type="dxa"/>
            </w:tcMar>
            <w:vAlign w:val="center"/>
          </w:tcPr>
          <w:p w14:paraId="295787B6"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广西壮族自治区畜禽品种改良站</w:t>
            </w:r>
          </w:p>
        </w:tc>
        <w:tc>
          <w:tcPr>
            <w:tcW w:w="1980" w:type="dxa"/>
            <w:tcMar>
              <w:left w:w="57" w:type="dxa"/>
              <w:right w:w="57" w:type="dxa"/>
            </w:tcMar>
            <w:vAlign w:val="center"/>
          </w:tcPr>
          <w:p w14:paraId="7ACB7CCD"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洪绍锋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蒋世强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王英群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刘瑞鑫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许春荣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黄丽云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邓祝新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梁志敏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刘德玉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李芳芳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唐荣福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唐胤晟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邹乐勤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黄子诚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李敏玲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黄雅维</w:t>
            </w:r>
          </w:p>
        </w:tc>
        <w:tc>
          <w:tcPr>
            <w:tcW w:w="765" w:type="dxa"/>
            <w:tcMar>
              <w:left w:w="57" w:type="dxa"/>
              <w:right w:w="57" w:type="dxa"/>
            </w:tcMar>
            <w:vAlign w:val="center"/>
          </w:tcPr>
          <w:p w14:paraId="5B7CF924"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有效</w:t>
            </w:r>
          </w:p>
        </w:tc>
        <w:tc>
          <w:tcPr>
            <w:tcW w:w="880" w:type="dxa"/>
            <w:tcMar>
              <w:left w:w="57" w:type="dxa"/>
              <w:right w:w="57" w:type="dxa"/>
            </w:tcMar>
            <w:vAlign w:val="center"/>
          </w:tcPr>
          <w:p w14:paraId="3BDC4936"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 w14:paraId="75CF340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02BCD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实用新型专利</w:t>
            </w:r>
          </w:p>
        </w:tc>
        <w:tc>
          <w:tcPr>
            <w:tcW w:w="965" w:type="dxa"/>
            <w:gridSpan w:val="2"/>
            <w:tcMar>
              <w:left w:w="57" w:type="dxa"/>
              <w:right w:w="57" w:type="dxa"/>
            </w:tcMar>
            <w:vAlign w:val="center"/>
          </w:tcPr>
          <w:p w14:paraId="646B2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一种可折叠牛马称重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、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保定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、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体尺测量装置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63D0A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中国</w:t>
            </w:r>
          </w:p>
        </w:tc>
        <w:tc>
          <w:tcPr>
            <w:tcW w:w="795" w:type="dxa"/>
            <w:tcMar>
              <w:left w:w="57" w:type="dxa"/>
              <w:right w:w="57" w:type="dxa"/>
            </w:tcMar>
            <w:vAlign w:val="center"/>
          </w:tcPr>
          <w:p w14:paraId="09391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ZL202222443928.X</w:t>
            </w:r>
          </w:p>
        </w:tc>
        <w:tc>
          <w:tcPr>
            <w:tcW w:w="660" w:type="dxa"/>
            <w:tcMar>
              <w:left w:w="57" w:type="dxa"/>
              <w:right w:w="57" w:type="dxa"/>
            </w:tcMar>
            <w:vAlign w:val="center"/>
          </w:tcPr>
          <w:p w14:paraId="42C01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2023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885" w:type="dxa"/>
            <w:tcMar>
              <w:left w:w="57" w:type="dxa"/>
              <w:right w:w="57" w:type="dxa"/>
            </w:tcMar>
            <w:vAlign w:val="center"/>
          </w:tcPr>
          <w:p w14:paraId="1BB69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第18308354（国家知识产权局）</w:t>
            </w:r>
          </w:p>
        </w:tc>
        <w:tc>
          <w:tcPr>
            <w:tcW w:w="885" w:type="dxa"/>
            <w:tcMar>
              <w:left w:w="57" w:type="dxa"/>
              <w:right w:w="57" w:type="dxa"/>
            </w:tcMar>
            <w:vAlign w:val="center"/>
          </w:tcPr>
          <w:p w14:paraId="14DE6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广西壮族自治区畜禽品种改良站</w:t>
            </w:r>
          </w:p>
        </w:tc>
        <w:tc>
          <w:tcPr>
            <w:tcW w:w="1980" w:type="dxa"/>
            <w:tcMar>
              <w:left w:w="57" w:type="dxa"/>
              <w:right w:w="57" w:type="dxa"/>
            </w:tcMar>
            <w:vAlign w:val="center"/>
          </w:tcPr>
          <w:p w14:paraId="04ED8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韦慧华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李美珍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王国利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梁云斌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黄丽云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黄子诚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方奕雄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魏莎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邓祝新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王英群</w:t>
            </w:r>
          </w:p>
        </w:tc>
        <w:tc>
          <w:tcPr>
            <w:tcW w:w="765" w:type="dxa"/>
            <w:tcMar>
              <w:left w:w="57" w:type="dxa"/>
              <w:right w:w="57" w:type="dxa"/>
            </w:tcMar>
            <w:vAlign w:val="center"/>
          </w:tcPr>
          <w:p w14:paraId="73345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有效</w:t>
            </w:r>
          </w:p>
        </w:tc>
        <w:tc>
          <w:tcPr>
            <w:tcW w:w="880" w:type="dxa"/>
            <w:tcMar>
              <w:left w:w="57" w:type="dxa"/>
              <w:right w:w="57" w:type="dxa"/>
            </w:tcMar>
            <w:vAlign w:val="center"/>
          </w:tcPr>
          <w:p w14:paraId="6605F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 w14:paraId="3C9DCAA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409A8328"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团体标准</w:t>
            </w:r>
          </w:p>
        </w:tc>
        <w:tc>
          <w:tcPr>
            <w:tcW w:w="965" w:type="dxa"/>
            <w:gridSpan w:val="2"/>
            <w:tcMar>
              <w:left w:w="57" w:type="dxa"/>
              <w:right w:w="57" w:type="dxa"/>
            </w:tcMar>
            <w:vAlign w:val="center"/>
          </w:tcPr>
          <w:p w14:paraId="7B10CC8C"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德保矮马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3BA3E810"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中国</w:t>
            </w:r>
          </w:p>
        </w:tc>
        <w:tc>
          <w:tcPr>
            <w:tcW w:w="795" w:type="dxa"/>
            <w:tcMar>
              <w:left w:w="57" w:type="dxa"/>
              <w:right w:w="57" w:type="dxa"/>
            </w:tcMar>
            <w:vAlign w:val="center"/>
          </w:tcPr>
          <w:p w14:paraId="2C43365C"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T/GXAS 1025-2025</w:t>
            </w:r>
          </w:p>
        </w:tc>
        <w:tc>
          <w:tcPr>
            <w:tcW w:w="660" w:type="dxa"/>
            <w:tcMar>
              <w:left w:w="57" w:type="dxa"/>
              <w:right w:w="57" w:type="dxa"/>
            </w:tcMar>
            <w:vAlign w:val="center"/>
          </w:tcPr>
          <w:p w14:paraId="6619EAFC"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2025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06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885" w:type="dxa"/>
            <w:tcMar>
              <w:left w:w="57" w:type="dxa"/>
              <w:right w:w="57" w:type="dxa"/>
            </w:tcMar>
            <w:vAlign w:val="center"/>
          </w:tcPr>
          <w:p w14:paraId="12D15461"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广西标准化协会</w:t>
            </w:r>
          </w:p>
        </w:tc>
        <w:tc>
          <w:tcPr>
            <w:tcW w:w="885" w:type="dxa"/>
            <w:tcMar>
              <w:left w:w="57" w:type="dxa"/>
              <w:right w:w="57" w:type="dxa"/>
            </w:tcMar>
            <w:vAlign w:val="center"/>
          </w:tcPr>
          <w:p w14:paraId="28CA5D81"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广西壮族自治区畜禽品种改良站；德保县矮马文化产业发展中心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广西农业职业技术大学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广西壮族自治区水牛研究所；百色市农牧渔技术推广中心</w:t>
            </w:r>
          </w:p>
        </w:tc>
        <w:tc>
          <w:tcPr>
            <w:tcW w:w="1980" w:type="dxa"/>
            <w:tcMar>
              <w:left w:w="57" w:type="dxa"/>
              <w:right w:w="57" w:type="dxa"/>
            </w:tcMar>
            <w:vAlign w:val="center"/>
          </w:tcPr>
          <w:p w14:paraId="629A953A"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洪绍锋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邓祝新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许春荣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刘瑞鑫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陈盛英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牮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伸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王英群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黄丽云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李敏玲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黄华汉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王自豪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刘德玉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何复明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甘凌秀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冯超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曾铮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何格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温斌华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黄光云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陆日章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玉耀贤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吴思谦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汤艳琼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黄健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谭正准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马小娅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陆杏蓉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郑海英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杨春艳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陶美君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许鹏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覃孝杰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张星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林金穆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谢桂萍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韦纯云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刘秋园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吴小伟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曾庆庆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韦玉娴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庾雪梅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李技根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赵来勘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农玉欣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黄月情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韦桂芬</w:t>
            </w:r>
          </w:p>
        </w:tc>
        <w:tc>
          <w:tcPr>
            <w:tcW w:w="765" w:type="dxa"/>
            <w:tcMar>
              <w:left w:w="57" w:type="dxa"/>
              <w:right w:w="57" w:type="dxa"/>
            </w:tcMar>
            <w:vAlign w:val="center"/>
          </w:tcPr>
          <w:p w14:paraId="1E121B23"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有效</w:t>
            </w:r>
          </w:p>
        </w:tc>
        <w:tc>
          <w:tcPr>
            <w:tcW w:w="880" w:type="dxa"/>
            <w:tcMar>
              <w:left w:w="57" w:type="dxa"/>
              <w:right w:w="57" w:type="dxa"/>
            </w:tcMar>
            <w:vAlign w:val="center"/>
          </w:tcPr>
          <w:p w14:paraId="2A01A068"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 w14:paraId="35148DD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48323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团体标准</w:t>
            </w:r>
          </w:p>
        </w:tc>
        <w:tc>
          <w:tcPr>
            <w:tcW w:w="965" w:type="dxa"/>
            <w:gridSpan w:val="2"/>
            <w:tcMar>
              <w:left w:w="57" w:type="dxa"/>
              <w:right w:w="57" w:type="dxa"/>
            </w:tcMar>
            <w:vAlign w:val="center"/>
          </w:tcPr>
          <w:p w14:paraId="385A9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水牛冷冻精液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6898B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中国</w:t>
            </w:r>
          </w:p>
        </w:tc>
        <w:tc>
          <w:tcPr>
            <w:tcW w:w="795" w:type="dxa"/>
            <w:tcMar>
              <w:left w:w="57" w:type="dxa"/>
              <w:right w:w="57" w:type="dxa"/>
            </w:tcMar>
            <w:vAlign w:val="center"/>
          </w:tcPr>
          <w:p w14:paraId="03C60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T/GXAS 1026-2025</w:t>
            </w:r>
          </w:p>
        </w:tc>
        <w:tc>
          <w:tcPr>
            <w:tcW w:w="660" w:type="dxa"/>
            <w:tcMar>
              <w:left w:w="57" w:type="dxa"/>
              <w:right w:w="57" w:type="dxa"/>
            </w:tcMar>
            <w:vAlign w:val="center"/>
          </w:tcPr>
          <w:p w14:paraId="227FD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2025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06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885" w:type="dxa"/>
            <w:tcMar>
              <w:left w:w="57" w:type="dxa"/>
              <w:right w:w="57" w:type="dxa"/>
            </w:tcMar>
            <w:vAlign w:val="center"/>
          </w:tcPr>
          <w:p w14:paraId="54EC5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广西标准化协会</w:t>
            </w:r>
          </w:p>
        </w:tc>
        <w:tc>
          <w:tcPr>
            <w:tcW w:w="885" w:type="dxa"/>
            <w:tcMar>
              <w:left w:w="57" w:type="dxa"/>
              <w:right w:w="57" w:type="dxa"/>
            </w:tcMar>
            <w:vAlign w:val="center"/>
          </w:tcPr>
          <w:p w14:paraId="3A3CF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广西壮族自治区畜禽品种改良站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广西农业工程职业技术学院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广西农业职业技术大学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广西壮族自治区水牛研究所</w:t>
            </w:r>
          </w:p>
        </w:tc>
        <w:tc>
          <w:tcPr>
            <w:tcW w:w="1980" w:type="dxa"/>
            <w:tcMar>
              <w:left w:w="57" w:type="dxa"/>
              <w:right w:w="57" w:type="dxa"/>
            </w:tcMar>
            <w:vAlign w:val="center"/>
          </w:tcPr>
          <w:p w14:paraId="23D7E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李敏玲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覃孝杰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黄丽云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刘德玉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何复明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黄雅维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邹乐勤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卢宁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刘瑞鑫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李现超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黄子诚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王启芝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蒋世强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甘凌秀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邓祝新；许春荣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洪绍锋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王英群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黄光云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罗鲜青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刘秋园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吴小伟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曾庆庆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梁志敏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漆爱荣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许鹏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陆杏蓉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郑海英</w:t>
            </w:r>
          </w:p>
        </w:tc>
        <w:tc>
          <w:tcPr>
            <w:tcW w:w="765" w:type="dxa"/>
            <w:tcMar>
              <w:left w:w="57" w:type="dxa"/>
              <w:right w:w="57" w:type="dxa"/>
            </w:tcMar>
            <w:vAlign w:val="center"/>
          </w:tcPr>
          <w:p w14:paraId="1F9F9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有效</w:t>
            </w:r>
          </w:p>
        </w:tc>
        <w:tc>
          <w:tcPr>
            <w:tcW w:w="880" w:type="dxa"/>
            <w:tcMar>
              <w:left w:w="57" w:type="dxa"/>
              <w:right w:w="57" w:type="dxa"/>
            </w:tcMar>
            <w:vAlign w:val="center"/>
          </w:tcPr>
          <w:p w14:paraId="36278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 w14:paraId="3F639A7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2BED1824">
            <w:pPr>
              <w:spacing w:line="260" w:lineRule="exact"/>
              <w:jc w:val="center"/>
              <w:rPr>
                <w:rFonts w:ascii="黑体" w:hAnsi="黑体" w:eastAsia="黑体" w:cs="黑体"/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论文名称</w:t>
            </w:r>
          </w:p>
        </w:tc>
        <w:tc>
          <w:tcPr>
            <w:tcW w:w="965" w:type="dxa"/>
            <w:gridSpan w:val="2"/>
            <w:tcMar>
              <w:left w:w="57" w:type="dxa"/>
              <w:right w:w="57" w:type="dxa"/>
            </w:tcMar>
            <w:vAlign w:val="center"/>
          </w:tcPr>
          <w:p w14:paraId="184F5AB2">
            <w:pPr>
              <w:spacing w:line="260" w:lineRule="exact"/>
              <w:jc w:val="center"/>
              <w:rPr>
                <w:rFonts w:ascii="黑体" w:hAnsi="黑体" w:eastAsia="黑体" w:cs="黑体"/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刊名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47DC5A5E">
            <w:pPr>
              <w:spacing w:line="260" w:lineRule="exact"/>
              <w:jc w:val="center"/>
              <w:rPr>
                <w:rFonts w:ascii="黑体" w:hAnsi="黑体" w:eastAsia="黑体" w:cs="黑体"/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作者</w:t>
            </w:r>
          </w:p>
        </w:tc>
        <w:tc>
          <w:tcPr>
            <w:tcW w:w="795" w:type="dxa"/>
            <w:tcMar>
              <w:left w:w="57" w:type="dxa"/>
              <w:right w:w="57" w:type="dxa"/>
            </w:tcMar>
            <w:vAlign w:val="center"/>
          </w:tcPr>
          <w:p w14:paraId="14D0F1E2">
            <w:pPr>
              <w:spacing w:line="260" w:lineRule="exact"/>
              <w:jc w:val="center"/>
              <w:rPr>
                <w:rFonts w:ascii="黑体" w:hAnsi="黑体" w:eastAsia="黑体" w:cs="黑体"/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年卷页码(xx年xx卷xx页)</w:t>
            </w:r>
          </w:p>
        </w:tc>
        <w:tc>
          <w:tcPr>
            <w:tcW w:w="660" w:type="dxa"/>
            <w:tcMar>
              <w:left w:w="57" w:type="dxa"/>
              <w:right w:w="57" w:type="dxa"/>
            </w:tcMar>
            <w:vAlign w:val="center"/>
          </w:tcPr>
          <w:p w14:paraId="688D4C8F">
            <w:pPr>
              <w:spacing w:line="260" w:lineRule="exact"/>
              <w:jc w:val="center"/>
              <w:rPr>
                <w:rFonts w:ascii="黑体" w:hAnsi="黑体" w:eastAsia="黑体" w:cs="黑体"/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发表时间（年月日）</w:t>
            </w:r>
          </w:p>
        </w:tc>
        <w:tc>
          <w:tcPr>
            <w:tcW w:w="885" w:type="dxa"/>
            <w:tcMar>
              <w:left w:w="57" w:type="dxa"/>
              <w:right w:w="57" w:type="dxa"/>
            </w:tcMar>
            <w:vAlign w:val="center"/>
          </w:tcPr>
          <w:p w14:paraId="61A885CF">
            <w:pPr>
              <w:spacing w:line="260" w:lineRule="exact"/>
              <w:jc w:val="center"/>
              <w:rPr>
                <w:rFonts w:ascii="黑体" w:hAnsi="黑体" w:eastAsia="黑体" w:cs="黑体"/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通讯作者（含共同）</w:t>
            </w:r>
          </w:p>
        </w:tc>
        <w:tc>
          <w:tcPr>
            <w:tcW w:w="885" w:type="dxa"/>
            <w:tcMar>
              <w:left w:w="57" w:type="dxa"/>
              <w:right w:w="57" w:type="dxa"/>
            </w:tcMar>
            <w:vAlign w:val="center"/>
          </w:tcPr>
          <w:p w14:paraId="196F1085">
            <w:pPr>
              <w:spacing w:line="260" w:lineRule="exact"/>
              <w:jc w:val="center"/>
              <w:rPr>
                <w:rFonts w:ascii="黑体" w:hAnsi="黑体" w:eastAsia="黑体" w:cs="黑体"/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第一作者(含共同)</w:t>
            </w:r>
          </w:p>
        </w:tc>
        <w:tc>
          <w:tcPr>
            <w:tcW w:w="1980" w:type="dxa"/>
            <w:tcMar>
              <w:left w:w="57" w:type="dxa"/>
              <w:right w:w="57" w:type="dxa"/>
            </w:tcMar>
            <w:vAlign w:val="center"/>
          </w:tcPr>
          <w:p w14:paraId="7471D163">
            <w:pPr>
              <w:spacing w:line="260" w:lineRule="exact"/>
              <w:jc w:val="center"/>
              <w:rPr>
                <w:rFonts w:ascii="黑体" w:hAnsi="黑体" w:eastAsia="黑体" w:cs="黑体"/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署名单位</w:t>
            </w:r>
          </w:p>
        </w:tc>
        <w:tc>
          <w:tcPr>
            <w:tcW w:w="765" w:type="dxa"/>
            <w:tcMar>
              <w:left w:w="57" w:type="dxa"/>
              <w:right w:w="57" w:type="dxa"/>
            </w:tcMar>
            <w:vAlign w:val="center"/>
          </w:tcPr>
          <w:p w14:paraId="6F6FF15F">
            <w:pPr>
              <w:spacing w:line="260" w:lineRule="exact"/>
              <w:jc w:val="center"/>
              <w:rPr>
                <w:rFonts w:ascii="黑体" w:hAnsi="黑体" w:eastAsia="黑体" w:cs="黑体"/>
                <w:bCs/>
                <w:color w:val="auto"/>
                <w:sz w:val="18"/>
                <w:szCs w:val="18"/>
              </w:rPr>
            </w:pPr>
          </w:p>
        </w:tc>
        <w:tc>
          <w:tcPr>
            <w:tcW w:w="880" w:type="dxa"/>
            <w:tcMar>
              <w:left w:w="57" w:type="dxa"/>
              <w:right w:w="57" w:type="dxa"/>
            </w:tcMar>
            <w:vAlign w:val="center"/>
          </w:tcPr>
          <w:p w14:paraId="18926DCF">
            <w:pPr>
              <w:spacing w:line="260" w:lineRule="exact"/>
              <w:jc w:val="center"/>
              <w:rPr>
                <w:rFonts w:ascii="黑体" w:hAnsi="黑体" w:eastAsia="黑体" w:cs="黑体"/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广西单位是否</w:t>
            </w:r>
            <w:r>
              <w:rPr>
                <w:rFonts w:hint="eastAsia"/>
                <w:color w:val="auto"/>
                <w:sz w:val="18"/>
                <w:szCs w:val="18"/>
              </w:rPr>
              <w:t>署名</w:t>
            </w:r>
          </w:p>
        </w:tc>
      </w:tr>
      <w:tr w14:paraId="22D5F58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333E6E21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动物组织DNA试剂盒提取水牛精液基因组DNA效果观察</w:t>
            </w:r>
          </w:p>
        </w:tc>
        <w:tc>
          <w:tcPr>
            <w:tcW w:w="965" w:type="dxa"/>
            <w:gridSpan w:val="2"/>
            <w:tcMar>
              <w:left w:w="57" w:type="dxa"/>
              <w:right w:w="57" w:type="dxa"/>
            </w:tcMar>
            <w:vAlign w:val="center"/>
          </w:tcPr>
          <w:p w14:paraId="4B697842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黑龙江畜牧兽医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0EB022ED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李芳芳，郭亚芬，江明生，李铭，潘堂峰，刘德玉，龙开旭，潘能庆，李美珍，邓祝新，覃孝杰，方奕雄，许鹏，王国利</w:t>
            </w:r>
          </w:p>
        </w:tc>
        <w:tc>
          <w:tcPr>
            <w:tcW w:w="795" w:type="dxa"/>
            <w:tcMar>
              <w:left w:w="57" w:type="dxa"/>
              <w:right w:w="57" w:type="dxa"/>
            </w:tcMar>
            <w:vAlign w:val="center"/>
          </w:tcPr>
          <w:p w14:paraId="39FDF4E6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2018（09）：192-193</w:t>
            </w:r>
          </w:p>
        </w:tc>
        <w:tc>
          <w:tcPr>
            <w:tcW w:w="660" w:type="dxa"/>
            <w:tcMar>
              <w:left w:w="57" w:type="dxa"/>
              <w:right w:w="57" w:type="dxa"/>
            </w:tcMar>
            <w:vAlign w:val="center"/>
          </w:tcPr>
          <w:p w14:paraId="5423E16E">
            <w:pPr>
              <w:spacing w:line="2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2018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5-10</w:t>
            </w:r>
          </w:p>
        </w:tc>
        <w:tc>
          <w:tcPr>
            <w:tcW w:w="885" w:type="dxa"/>
            <w:tcMar>
              <w:left w:w="57" w:type="dxa"/>
              <w:right w:w="57" w:type="dxa"/>
            </w:tcMar>
            <w:vAlign w:val="center"/>
          </w:tcPr>
          <w:p w14:paraId="0EE80377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王国利</w:t>
            </w:r>
          </w:p>
        </w:tc>
        <w:tc>
          <w:tcPr>
            <w:tcW w:w="885" w:type="dxa"/>
            <w:tcMar>
              <w:left w:w="57" w:type="dxa"/>
              <w:right w:w="57" w:type="dxa"/>
            </w:tcMar>
            <w:vAlign w:val="center"/>
          </w:tcPr>
          <w:p w14:paraId="386C6D31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李芳芳</w:t>
            </w:r>
          </w:p>
        </w:tc>
        <w:tc>
          <w:tcPr>
            <w:tcW w:w="1980" w:type="dxa"/>
            <w:tcMar>
              <w:left w:w="57" w:type="dxa"/>
              <w:right w:w="57" w:type="dxa"/>
            </w:tcMar>
            <w:vAlign w:val="center"/>
          </w:tcPr>
          <w:p w14:paraId="77A5E6C8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广西壮族自治区畜禽品种改良站，广西大学，南宁高新技术产业开发区动物卫生监督所，南宁培元基因科技有限公司</w:t>
            </w:r>
          </w:p>
        </w:tc>
        <w:tc>
          <w:tcPr>
            <w:tcW w:w="765" w:type="dxa"/>
            <w:tcMar>
              <w:left w:w="57" w:type="dxa"/>
              <w:right w:w="57" w:type="dxa"/>
            </w:tcMar>
            <w:vAlign w:val="center"/>
          </w:tcPr>
          <w:p w14:paraId="3C8AE2D6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</w:p>
        </w:tc>
        <w:tc>
          <w:tcPr>
            <w:tcW w:w="880" w:type="dxa"/>
            <w:tcMar>
              <w:left w:w="57" w:type="dxa"/>
              <w:right w:w="57" w:type="dxa"/>
            </w:tcMar>
            <w:vAlign w:val="center"/>
          </w:tcPr>
          <w:p w14:paraId="70802C2F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是</w:t>
            </w:r>
          </w:p>
        </w:tc>
      </w:tr>
      <w:tr w14:paraId="165A40A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630D8B0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广西四个地方猪的精液品质分析</w:t>
            </w:r>
          </w:p>
        </w:tc>
        <w:tc>
          <w:tcPr>
            <w:tcW w:w="965" w:type="dxa"/>
            <w:gridSpan w:val="2"/>
            <w:tcMar>
              <w:left w:w="57" w:type="dxa"/>
              <w:right w:w="57" w:type="dxa"/>
            </w:tcMar>
            <w:vAlign w:val="center"/>
          </w:tcPr>
          <w:p w14:paraId="373CFB4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中国畜禽种业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692A53D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Cs w:val="21"/>
                <w:lang w:val="en-US" w:eastAsia="zh-CN"/>
              </w:rPr>
              <w:t>洪绍锋，黄丽云，许春荣，邓祝新，李牮伸，王英群，刘瑞鑫，蒋世强，邹乐勤，黄雅维，韦慧华，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梁志敏</w:t>
            </w:r>
          </w:p>
        </w:tc>
        <w:tc>
          <w:tcPr>
            <w:tcW w:w="795" w:type="dxa"/>
            <w:tcMar>
              <w:left w:w="57" w:type="dxa"/>
              <w:right w:w="57" w:type="dxa"/>
            </w:tcMar>
            <w:vAlign w:val="center"/>
          </w:tcPr>
          <w:p w14:paraId="26B5B8D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2024,20(08):63-68</w:t>
            </w:r>
          </w:p>
        </w:tc>
        <w:tc>
          <w:tcPr>
            <w:tcW w:w="660" w:type="dxa"/>
            <w:tcMar>
              <w:left w:w="57" w:type="dxa"/>
              <w:right w:w="57" w:type="dxa"/>
            </w:tcMar>
            <w:vAlign w:val="center"/>
          </w:tcPr>
          <w:p w14:paraId="194F8C2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-08-26</w:t>
            </w:r>
          </w:p>
        </w:tc>
        <w:tc>
          <w:tcPr>
            <w:tcW w:w="885" w:type="dxa"/>
            <w:tcMar>
              <w:left w:w="57" w:type="dxa"/>
              <w:right w:w="57" w:type="dxa"/>
            </w:tcMar>
            <w:vAlign w:val="center"/>
          </w:tcPr>
          <w:p w14:paraId="2E524C1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王英群，刘瑞鑫</w:t>
            </w:r>
          </w:p>
        </w:tc>
        <w:tc>
          <w:tcPr>
            <w:tcW w:w="885" w:type="dxa"/>
            <w:tcMar>
              <w:left w:w="57" w:type="dxa"/>
              <w:right w:w="57" w:type="dxa"/>
            </w:tcMar>
            <w:vAlign w:val="center"/>
          </w:tcPr>
          <w:p w14:paraId="126F6C1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洪绍锋，黄丽云</w:t>
            </w:r>
          </w:p>
        </w:tc>
        <w:tc>
          <w:tcPr>
            <w:tcW w:w="1980" w:type="dxa"/>
            <w:tcMar>
              <w:left w:w="57" w:type="dxa"/>
              <w:right w:w="57" w:type="dxa"/>
            </w:tcMar>
            <w:vAlign w:val="center"/>
          </w:tcPr>
          <w:p w14:paraId="6BC823F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广西壮族自治区畜禽品种改良站</w:t>
            </w:r>
          </w:p>
        </w:tc>
        <w:tc>
          <w:tcPr>
            <w:tcW w:w="765" w:type="dxa"/>
            <w:tcMar>
              <w:left w:w="57" w:type="dxa"/>
              <w:right w:w="57" w:type="dxa"/>
            </w:tcMar>
            <w:vAlign w:val="center"/>
          </w:tcPr>
          <w:p w14:paraId="01A31012">
            <w:pPr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</w:p>
        </w:tc>
        <w:tc>
          <w:tcPr>
            <w:tcW w:w="880" w:type="dxa"/>
            <w:tcMar>
              <w:left w:w="57" w:type="dxa"/>
              <w:right w:w="57" w:type="dxa"/>
            </w:tcMar>
            <w:vAlign w:val="center"/>
          </w:tcPr>
          <w:p w14:paraId="2C06941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 w14:paraId="317D3F6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9980" w:type="dxa"/>
            <w:gridSpan w:val="11"/>
            <w:tcMar>
              <w:left w:w="57" w:type="dxa"/>
              <w:right w:w="57" w:type="dxa"/>
            </w:tcMar>
            <w:vAlign w:val="center"/>
          </w:tcPr>
          <w:p w14:paraId="73FA8BD1"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提名意见：</w:t>
            </w:r>
          </w:p>
          <w:p w14:paraId="6D175EEF">
            <w:pPr>
              <w:spacing w:line="240" w:lineRule="exact"/>
              <w:ind w:firstLine="420" w:firstLineChars="200"/>
              <w:jc w:val="left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根据《广西科学技术奖励办法》《广西科学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pacing w:val="2"/>
                <w:szCs w:val="21"/>
              </w:rPr>
              <w:t>技术奖励办法实施细则》相关规定，提名该个人、组织为科学技术奖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pacing w:val="2"/>
                <w:szCs w:val="21"/>
                <w:u w:val="single"/>
              </w:rPr>
              <w:t xml:space="preserve"> 二  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pacing w:val="2"/>
                <w:szCs w:val="21"/>
              </w:rPr>
              <w:t>等 、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pacing w:val="2"/>
                <w:szCs w:val="21"/>
                <w:u w:val="single"/>
              </w:rPr>
              <w:t xml:space="preserve"> 三  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pacing w:val="2"/>
                <w:szCs w:val="21"/>
              </w:rPr>
              <w:t>等奖候选个人、候选组织。</w:t>
            </w:r>
          </w:p>
        </w:tc>
      </w:tr>
      <w:tr w14:paraId="416367E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  <w:jc w:val="center"/>
        </w:trPr>
        <w:tc>
          <w:tcPr>
            <w:tcW w:w="9980" w:type="dxa"/>
            <w:gridSpan w:val="11"/>
            <w:tcMar>
              <w:left w:w="57" w:type="dxa"/>
              <w:right w:w="57" w:type="dxa"/>
            </w:tcMar>
          </w:tcPr>
          <w:p w14:paraId="1A7AE35F">
            <w:pPr>
              <w:spacing w:line="240" w:lineRule="exact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第一候选组织简介（不超过100字）：</w:t>
            </w:r>
          </w:p>
          <w:p w14:paraId="6F4DE4FA">
            <w:pPr>
              <w:pStyle w:val="4"/>
              <w:spacing w:line="240" w:lineRule="exact"/>
              <w:ind w:firstLine="420" w:firstLineChars="200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lang w:val="zh-TW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广西壮族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zh-TW"/>
              </w:rPr>
              <w:t>自治区畜禽品种改良站主要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承担全区种畜禽质量检测、良种登记、生产性能测定、遗传评估等工作，建立有一套家畜遗传材料采集保存的技术体系，在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zh-TW"/>
              </w:rPr>
              <w:t>畜禽种质资源保护与利用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、畜禽种业质量安全监督中发挥了积极的技术支撑作用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zh-TW"/>
              </w:rPr>
              <w:t>。</w:t>
            </w:r>
          </w:p>
          <w:p w14:paraId="6B95E7B2">
            <w:pPr>
              <w:pStyle w:val="4"/>
              <w:spacing w:line="2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lang w:val="zh-TW"/>
              </w:rPr>
            </w:pPr>
          </w:p>
          <w:p w14:paraId="022261B5">
            <w:pPr>
              <w:pStyle w:val="4"/>
              <w:spacing w:line="2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lang w:val="zh-TW"/>
              </w:rPr>
            </w:pPr>
          </w:p>
          <w:p w14:paraId="4832644C">
            <w:pPr>
              <w:pStyle w:val="4"/>
              <w:spacing w:line="2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 w14:paraId="45D27D2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  <w:jc w:val="center"/>
        </w:trPr>
        <w:tc>
          <w:tcPr>
            <w:tcW w:w="9980" w:type="dxa"/>
            <w:gridSpan w:val="11"/>
            <w:tcMar>
              <w:left w:w="57" w:type="dxa"/>
              <w:right w:w="57" w:type="dxa"/>
            </w:tcMar>
          </w:tcPr>
          <w:p w14:paraId="1785B205">
            <w:pPr>
              <w:spacing w:line="240" w:lineRule="exact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成果简介（不超过200字）：</w:t>
            </w:r>
          </w:p>
          <w:p w14:paraId="69C5C545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本成果面向国家种业振兴和生物多样性保护的重大战略需求，首次系统性调查、收集、评估了广西特有家畜地方品种（如德保矮马、德保猪、水牛等）的种质特性。创建“活体保护、细胞保存”的广西家畜种质资源保护技术。攻克了遗传资源采集、公畜精液活力提升及冷冻保存等关键技术瓶颈，建立了“科研单位+保种场+龙头企业+农户”模式，将保种技术与商业化育种、产业化开发相关结合，提升了地方家畜品种生存能力和价值。</w:t>
            </w:r>
          </w:p>
        </w:tc>
      </w:tr>
    </w:tbl>
    <w:p w14:paraId="0DB15A37">
      <w:pPr>
        <w:pStyle w:val="10"/>
        <w:spacing w:line="240" w:lineRule="exact"/>
        <w:rPr>
          <w:sz w:val="21"/>
          <w:szCs w:val="21"/>
        </w:rPr>
      </w:pPr>
    </w:p>
    <w:p w14:paraId="61E5B8C0">
      <w:pPr>
        <w:pStyle w:val="10"/>
        <w:spacing w:line="240" w:lineRule="exact"/>
        <w:rPr>
          <w:sz w:val="21"/>
          <w:szCs w:val="21"/>
        </w:rPr>
      </w:pPr>
    </w:p>
    <w:p w14:paraId="7EC6A5FC">
      <w:pPr>
        <w:pStyle w:val="10"/>
      </w:pPr>
    </w:p>
    <w:sectPr>
      <w:pgSz w:w="11906" w:h="16838"/>
      <w:pgMar w:top="1417" w:right="1531" w:bottom="1417" w:left="1531" w:header="851" w:footer="1417" w:gutter="0"/>
      <w:pgNumType w:fmt="numberInDash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E6898F8-F33C-47C5-A2F5-33053B17464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02734E3F-E1D5-48DD-8E21-6C0DE6518E4D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3" w:fontKey="{6DEC0C82-FF48-4B58-A2BF-9F89F99DB36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C8630E"/>
    <w:rsid w:val="00003E45"/>
    <w:rsid w:val="00015532"/>
    <w:rsid w:val="00160672"/>
    <w:rsid w:val="0016755E"/>
    <w:rsid w:val="001A725B"/>
    <w:rsid w:val="001B70EA"/>
    <w:rsid w:val="001D07A7"/>
    <w:rsid w:val="00284E3F"/>
    <w:rsid w:val="002D24EB"/>
    <w:rsid w:val="00310D32"/>
    <w:rsid w:val="003A42A3"/>
    <w:rsid w:val="0041394F"/>
    <w:rsid w:val="004743D0"/>
    <w:rsid w:val="0048501C"/>
    <w:rsid w:val="004A3495"/>
    <w:rsid w:val="004C5BC9"/>
    <w:rsid w:val="004F2FB9"/>
    <w:rsid w:val="00521457"/>
    <w:rsid w:val="00541E8A"/>
    <w:rsid w:val="00541EF1"/>
    <w:rsid w:val="0067043C"/>
    <w:rsid w:val="00684862"/>
    <w:rsid w:val="006B6068"/>
    <w:rsid w:val="006C258A"/>
    <w:rsid w:val="006F78EF"/>
    <w:rsid w:val="0071127D"/>
    <w:rsid w:val="00732EA8"/>
    <w:rsid w:val="0077485F"/>
    <w:rsid w:val="007B0B5C"/>
    <w:rsid w:val="00833DD7"/>
    <w:rsid w:val="00897BB7"/>
    <w:rsid w:val="008A16A6"/>
    <w:rsid w:val="00933202"/>
    <w:rsid w:val="009535F7"/>
    <w:rsid w:val="00990B7B"/>
    <w:rsid w:val="009A5119"/>
    <w:rsid w:val="00A73964"/>
    <w:rsid w:val="00B26295"/>
    <w:rsid w:val="00B50E9F"/>
    <w:rsid w:val="00B7163A"/>
    <w:rsid w:val="00C068CD"/>
    <w:rsid w:val="00CB1E66"/>
    <w:rsid w:val="00D12090"/>
    <w:rsid w:val="00D33C89"/>
    <w:rsid w:val="00D425FD"/>
    <w:rsid w:val="00D97A4D"/>
    <w:rsid w:val="00DA2249"/>
    <w:rsid w:val="00DE4F17"/>
    <w:rsid w:val="00E32D66"/>
    <w:rsid w:val="00E44C8A"/>
    <w:rsid w:val="00E45152"/>
    <w:rsid w:val="00E6337C"/>
    <w:rsid w:val="00E96CB2"/>
    <w:rsid w:val="00ED4815"/>
    <w:rsid w:val="00EE5D80"/>
    <w:rsid w:val="00EF5A7A"/>
    <w:rsid w:val="00F05AC4"/>
    <w:rsid w:val="00FA5A5F"/>
    <w:rsid w:val="00FB0278"/>
    <w:rsid w:val="00FB0B1F"/>
    <w:rsid w:val="00FB17A8"/>
    <w:rsid w:val="00FD0F8B"/>
    <w:rsid w:val="04FE1C7F"/>
    <w:rsid w:val="0CC8630E"/>
    <w:rsid w:val="0D7210C7"/>
    <w:rsid w:val="13C01174"/>
    <w:rsid w:val="15ED6024"/>
    <w:rsid w:val="166C7233"/>
    <w:rsid w:val="1C7C6AD4"/>
    <w:rsid w:val="241F02D3"/>
    <w:rsid w:val="2A885972"/>
    <w:rsid w:val="43DA1533"/>
    <w:rsid w:val="460904A1"/>
    <w:rsid w:val="47BA3296"/>
    <w:rsid w:val="49CB1DE0"/>
    <w:rsid w:val="4AED6579"/>
    <w:rsid w:val="4F1D0D77"/>
    <w:rsid w:val="5BE93EEE"/>
    <w:rsid w:val="5DC571F2"/>
    <w:rsid w:val="5E6006BB"/>
    <w:rsid w:val="5EDA046D"/>
    <w:rsid w:val="5FC86933"/>
    <w:rsid w:val="60BF299A"/>
    <w:rsid w:val="643623AE"/>
    <w:rsid w:val="6E4345E1"/>
    <w:rsid w:val="70F97E36"/>
    <w:rsid w:val="73BC66FB"/>
    <w:rsid w:val="79A3220A"/>
    <w:rsid w:val="7E13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qFormat="1" w:unhideWhenUsed="0" w:uiPriority="0" w:semiHidden="0" w:name="Title"/>
    <w:lsdException w:unhideWhenUsed="0" w:uiPriority="99" w:semiHidden="0" w:name="Closing"/>
    <w:lsdException w:unhideWhenUsed="0" w:uiPriority="99" w:semiHidden="0" w:name="Signature"/>
    <w:lsdException w:qFormat="1" w:uiPriority="1" w:name="Default Paragraph Font"/>
    <w:lsdException w:qFormat="1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unhideWhenUsed="0" w:uiPriority="99" w:semiHidden="0" w:name="Hyperlink"/>
    <w:lsdException w:unhideWhenUsed="0" w:uiPriority="99" w:semiHidden="0" w:name="FollowedHyperlink"/>
    <w:lsdException w:unhideWhenUsed="0" w:uiPriority="99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iPriority="99" w:name="Normal Table"/>
    <w:lsdException w:unhideWhenUsed="0" w:uiPriority="99" w:semiHidden="0" w:name="annotation subject"/>
    <w:lsdException w:unhideWhenUsed="0" w:uiPriority="99" w:semiHidden="0" w:name="Table Simple 1"/>
    <w:lsdException w:unhideWhenUsed="0" w:uiPriority="99" w:semiHidden="0" w:name="Table Simple 2"/>
    <w:lsdException w:unhideWhenUsed="0" w:uiPriority="99" w:semiHidden="0" w:name="Table Simple 3"/>
    <w:lsdException w:unhideWhenUsed="0" w:uiPriority="99" w:semiHidden="0" w:name="Table Classic 1"/>
    <w:lsdException w:unhideWhenUsed="0" w:uiPriority="99" w:semiHidden="0" w:name="Table Classic 2"/>
    <w:lsdException w:unhideWhenUsed="0" w:uiPriority="99" w:semiHidden="0" w:name="Table Classic 3"/>
    <w:lsdException w:unhideWhenUsed="0" w:uiPriority="99" w:semiHidden="0" w:name="Table Classic 4"/>
    <w:lsdException w:unhideWhenUsed="0" w:uiPriority="99" w:semiHidden="0" w:name="Table Colorful 1"/>
    <w:lsdException w:unhideWhenUsed="0" w:uiPriority="99" w:semiHidden="0" w:name="Table Colorful 2"/>
    <w:lsdException w:unhideWhenUsed="0" w:uiPriority="99" w:semiHidden="0" w:name="Table Colorful 3"/>
    <w:lsdException w:unhideWhenUsed="0" w:uiPriority="99" w:semiHidden="0" w:name="Table Columns 1"/>
    <w:lsdException w:unhideWhenUsed="0" w:uiPriority="99" w:semiHidden="0" w:name="Table Columns 2"/>
    <w:lsdException w:unhideWhenUsed="0" w:uiPriority="99" w:semiHidden="0" w:name="Table Columns 3"/>
    <w:lsdException w:unhideWhenUsed="0" w:uiPriority="99" w:semiHidden="0" w:name="Table Columns 4"/>
    <w:lsdException w:unhideWhenUsed="0" w:uiPriority="99" w:semiHidden="0" w:name="Table Columns 5"/>
    <w:lsdException w:unhideWhenUsed="0" w:uiPriority="99" w:semiHidden="0" w:name="Table Grid 1"/>
    <w:lsdException w:unhideWhenUsed="0" w:uiPriority="99" w:semiHidden="0" w:name="Table Grid 2"/>
    <w:lsdException w:unhideWhenUsed="0" w:uiPriority="99" w:semiHidden="0" w:name="Table Grid 3"/>
    <w:lsdException w:unhideWhenUsed="0" w:uiPriority="99" w:semiHidden="0" w:name="Table Grid 4"/>
    <w:lsdException w:unhideWhenUsed="0" w:uiPriority="99" w:semiHidden="0" w:name="Table Grid 5"/>
    <w:lsdException w:unhideWhenUsed="0" w:uiPriority="99" w:semiHidden="0" w:name="Table Grid 6"/>
    <w:lsdException w:unhideWhenUsed="0" w:uiPriority="99" w:semiHidden="0" w:name="Table Grid 7"/>
    <w:lsdException w:unhideWhenUsed="0" w:uiPriority="99" w:semiHidden="0" w:name="Table Grid 8"/>
    <w:lsdException w:unhideWhenUsed="0" w:uiPriority="99" w:semiHidden="0" w:name="Table List 1"/>
    <w:lsdException w:unhideWhenUsed="0" w:uiPriority="99" w:semiHidden="0" w:name="Table List 2"/>
    <w:lsdException w:unhideWhenUsed="0" w:uiPriority="99" w:semiHidden="0" w:name="Table List 3"/>
    <w:lsdException w:unhideWhenUsed="0" w:uiPriority="99" w:semiHidden="0" w:name="Table List 4"/>
    <w:lsdException w:unhideWhenUsed="0" w:uiPriority="99" w:semiHidden="0" w:name="Table List 5"/>
    <w:lsdException w:unhideWhenUsed="0" w:uiPriority="99" w:semiHidden="0" w:name="Table List 6"/>
    <w:lsdException w:unhideWhenUsed="0" w:uiPriority="99" w:semiHidden="0" w:name="Table List 7"/>
    <w:lsdException w:unhideWhenUsed="0" w:uiPriority="99" w:semiHidden="0" w:name="Table List 8"/>
    <w:lsdException w:unhideWhenUsed="0" w:uiPriority="99" w:semiHidden="0" w:name="Table 3D effects 1"/>
    <w:lsdException w:unhideWhenUsed="0" w:uiPriority="99" w:semiHidden="0" w:name="Table 3D effects 2"/>
    <w:lsdException w:unhideWhenUsed="0" w:uiPriority="99" w:semiHidden="0" w:name="Table 3D effects 3"/>
    <w:lsdException w:unhideWhenUsed="0" w:uiPriority="99" w:semiHidden="0" w:name="Table Contemporary"/>
    <w:lsdException w:unhideWhenUsed="0" w:uiPriority="99" w:semiHidden="0" w:name="Table Elegant"/>
    <w:lsdException w:unhideWhenUsed="0" w:uiPriority="99" w:semiHidden="0" w:name="Table Professional"/>
    <w:lsdException w:unhideWhenUsed="0" w:uiPriority="99" w:semiHidden="0" w:name="Table Subtle 1"/>
    <w:lsdException w:unhideWhenUsed="0" w:uiPriority="99" w:semiHidden="0" w:name="Table Subtle 2"/>
    <w:lsdException w:unhideWhenUsed="0" w:uiPriority="99" w:semiHidden="0" w:name="Table Web 1"/>
    <w:lsdException w:unhideWhenUsed="0" w:uiPriority="99" w:semiHidden="0" w:name="Table Web 2"/>
    <w:lsdException w:unhideWhenUsed="0" w:uiPriority="99" w:semiHidden="0" w:name="Table Web 3"/>
    <w:lsdException w:unhideWhenUsed="0" w:uiPriority="99" w:semiHidden="0" w:name="Balloon Text"/>
    <w:lsdException w:qFormat="1" w:unhideWhenUsed="0" w:uiPriority="0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3"/>
    <w:qFormat/>
    <w:uiPriority w:val="0"/>
    <w:pPr>
      <w:keepNext/>
      <w:keepLines/>
      <w:spacing w:line="560" w:lineRule="exact"/>
    </w:pPr>
    <w:rPr>
      <w:rFonts w:eastAsia="方正小标宋简体"/>
      <w:b w:val="0"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4">
    <w:name w:val="Body Text"/>
    <w:basedOn w:val="1"/>
    <w:unhideWhenUsed/>
    <w:qFormat/>
    <w:uiPriority w:val="99"/>
    <w:pPr>
      <w:jc w:val="center"/>
    </w:pPr>
    <w:rPr>
      <w:sz w:val="4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样式1"/>
    <w:basedOn w:val="1"/>
    <w:qFormat/>
    <w:uiPriority w:val="0"/>
    <w:pPr>
      <w:spacing w:line="540" w:lineRule="exact"/>
    </w:pPr>
    <w:rPr>
      <w:rFonts w:eastAsia="仿宋_GB2312"/>
      <w:sz w:val="32"/>
    </w:rPr>
  </w:style>
  <w:style w:type="paragraph" w:customStyle="1" w:styleId="11">
    <w:name w:val="大标题"/>
    <w:basedOn w:val="3"/>
    <w:qFormat/>
    <w:uiPriority w:val="0"/>
    <w:rPr>
      <w:rFonts w:eastAsia="方正小标宋简体" w:asciiTheme="minorHAnsi" w:hAnsiTheme="minorHAnsi"/>
      <w:b w:val="0"/>
    </w:rPr>
  </w:style>
  <w:style w:type="character" w:customStyle="1" w:styleId="12">
    <w:name w:val="17"/>
    <w:basedOn w:val="9"/>
    <w:qFormat/>
    <w:uiPriority w:val="0"/>
    <w:rPr>
      <w:rFonts w:hint="eastAsia" w:ascii="仿宋_GB2312" w:eastAsia="仿宋_GB2312"/>
      <w:b/>
      <w:bCs/>
      <w:kern w:val="44"/>
      <w:sz w:val="44"/>
      <w:szCs w:val="44"/>
    </w:rPr>
  </w:style>
  <w:style w:type="character" w:customStyle="1" w:styleId="13">
    <w:name w:val="font31"/>
    <w:basedOn w:val="9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4">
    <w:name w:val="font21"/>
    <w:basedOn w:val="9"/>
    <w:qFormat/>
    <w:uiPriority w:val="0"/>
    <w:rPr>
      <w:rFonts w:hint="default" w:ascii="仿宋_GB2312" w:eastAsia="仿宋_GB2312" w:cs="仿宋_GB2312"/>
      <w:color w:val="FF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2182</Words>
  <Characters>2527</Characters>
  <Lines>20</Lines>
  <Paragraphs>5</Paragraphs>
  <TotalTime>5</TotalTime>
  <ScaleCrop>false</ScaleCrop>
  <LinksUpToDate>false</LinksUpToDate>
  <CharactersWithSpaces>2539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2023-07-25T08:53:00Z</dcterms:created>
  <dc:creator>lenovo</dc:creator>
  <cp:lastModifiedBy>VET~罗</cp:lastModifiedBy>
  <dcterms:modified xsi:type="dcterms:W3CDTF">2025-09-03T10:17:26Z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40046E03980348EA91021858DCF87CFA_13</vt:lpwstr>
  </property>
  <property fmtid="{D5CDD505-2E9C-101B-9397-08002B2CF9AE}" pid="4" name="KSOTemplateDocerSaveRecord">
    <vt:lpwstr>eyJoZGlkIjoiMmU3ZjRkMzQ3NTQwMWNkZWQ2Y2M3ZmUzMWVmNTcyZmQiLCJ1c2VySWQiOiI1MjU5MTgzNDUifQ==</vt:lpwstr>
  </property>
</Properties>
</file>