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4" w:rsidRDefault="00850E84" w:rsidP="00850E84">
      <w:pPr>
        <w:spacing w:line="560" w:lineRule="exact"/>
        <w:rPr>
          <w:rFonts w:ascii="仿宋_GB2312" w:eastAsia="黑体" w:hAnsi="仿宋_GB2312" w:cs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50E84" w:rsidRDefault="00850E84" w:rsidP="00850E84">
      <w:pPr>
        <w:spacing w:before="156" w:after="156"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pacing w:val="-4"/>
          <w:sz w:val="36"/>
          <w:szCs w:val="36"/>
        </w:rPr>
        <w:t>XX</w:t>
      </w:r>
      <w:r>
        <w:rPr>
          <w:rFonts w:ascii="方正小标宋简体" w:eastAsia="方正小标宋简体" w:hint="eastAsia"/>
          <w:sz w:val="36"/>
          <w:szCs w:val="36"/>
        </w:rPr>
        <w:t>县（市、区）农业社会化服务作业合同示范文本</w:t>
      </w:r>
    </w:p>
    <w:bookmarkEnd w:id="0"/>
    <w:p w:rsidR="00850E84" w:rsidRDefault="00850E84" w:rsidP="00850E84">
      <w:pPr>
        <w:spacing w:line="400" w:lineRule="exact"/>
        <w:ind w:left="840" w:hangingChars="300" w:hanging="84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（参考文本，各县结合实际需要简化）</w:t>
      </w:r>
    </w:p>
    <w:p w:rsidR="00850E84" w:rsidRDefault="00850E84" w:rsidP="00850E84">
      <w:pPr>
        <w:pStyle w:val="a5"/>
        <w:rPr>
          <w:rFonts w:hint="eastAsia"/>
        </w:rPr>
      </w:pPr>
    </w:p>
    <w:p w:rsidR="00850E84" w:rsidRDefault="00850E84" w:rsidP="00850E84">
      <w:pPr>
        <w:spacing w:line="500" w:lineRule="exact"/>
        <w:ind w:left="840" w:hangingChars="300" w:hanging="84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甲方（</w:t>
      </w:r>
      <w:r>
        <w:rPr>
          <w:rFonts w:ascii="仿宋_GB2312" w:eastAsia="仿宋_GB2312" w:hAnsi="仿宋_GB2312" w:cs="仿宋_GB2312"/>
          <w:sz w:val="28"/>
          <w:szCs w:val="28"/>
          <w:lang w:val="en"/>
        </w:rPr>
        <w:t>服务主体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</w:t>
      </w:r>
    </w:p>
    <w:p w:rsidR="00850E84" w:rsidRDefault="00850E84" w:rsidP="00850E84">
      <w:pPr>
        <w:spacing w:line="500" w:lineRule="exact"/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乙方（</w:t>
      </w:r>
      <w:r>
        <w:rPr>
          <w:rFonts w:ascii="仿宋_GB2312" w:eastAsia="仿宋_GB2312" w:hAnsi="仿宋_GB2312" w:cs="仿宋_GB2312"/>
          <w:sz w:val="28"/>
          <w:szCs w:val="28"/>
          <w:lang w:val="en"/>
        </w:rPr>
        <w:t>服务对象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  <w:t xml:space="preserve">                    </w:t>
      </w:r>
    </w:p>
    <w:p w:rsidR="00850E84" w:rsidRDefault="00850E84" w:rsidP="00850E84">
      <w:pPr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经协商，在平等互利、保证双方权益的基础上，甲方为乙方提供农业社会化服务。双方签订如下条款：</w:t>
      </w:r>
    </w:p>
    <w:p w:rsidR="00850E84" w:rsidRDefault="00850E84" w:rsidP="00850E84">
      <w:pPr>
        <w:spacing w:line="4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一、作业内容</w:t>
      </w:r>
    </w:p>
    <w:p w:rsidR="00850E84" w:rsidRDefault="00850E84" w:rsidP="00850E84">
      <w:pPr>
        <w:spacing w:after="156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日，甲方向乙方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（作物）提供下列社会化服务：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125"/>
        <w:gridCol w:w="5700"/>
      </w:tblGrid>
      <w:tr w:rsidR="00850E84" w:rsidTr="00132E14">
        <w:trPr>
          <w:trHeight w:val="902"/>
          <w:jc w:val="center"/>
        </w:trPr>
        <w:tc>
          <w:tcPr>
            <w:tcW w:w="948" w:type="dxa"/>
            <w:vAlign w:val="center"/>
          </w:tcPr>
          <w:p w:rsidR="00850E84" w:rsidRDefault="00850E84" w:rsidP="00132E1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25" w:type="dxa"/>
            <w:vAlign w:val="center"/>
          </w:tcPr>
          <w:p w:rsidR="00850E84" w:rsidRDefault="00850E84" w:rsidP="00132E1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服务田块（山地、场所）     详细地点</w:t>
            </w:r>
          </w:p>
        </w:tc>
        <w:tc>
          <w:tcPr>
            <w:tcW w:w="5700" w:type="dxa"/>
            <w:vAlign w:val="center"/>
          </w:tcPr>
          <w:p w:rsidR="00850E84" w:rsidRDefault="00850E84" w:rsidP="00132E14">
            <w:pPr>
              <w:snapToGrid w:val="0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服务环节明细</w:t>
            </w:r>
          </w:p>
        </w:tc>
      </w:tr>
      <w:tr w:rsidR="00850E84" w:rsidTr="00132E14">
        <w:trPr>
          <w:trHeight w:val="3794"/>
          <w:jc w:val="center"/>
        </w:trPr>
        <w:tc>
          <w:tcPr>
            <w:tcW w:w="948" w:type="dxa"/>
          </w:tcPr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700" w:type="dxa"/>
          </w:tcPr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水稻机耕       亩，单价        元，金额        元；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红薯插藤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亩，单价        元，金额        元；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马铃薯机播     亩，单价        元，金额        元；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850E84" w:rsidRDefault="00850E84" w:rsidP="00132E14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合计金额（大写）  万 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拾   元  角  分（￥：            ）</w:t>
            </w:r>
          </w:p>
        </w:tc>
      </w:tr>
    </w:tbl>
    <w:p w:rsidR="00850E84" w:rsidRDefault="00850E84" w:rsidP="00850E84">
      <w:pPr>
        <w:rPr>
          <w:rFonts w:ascii="仿宋_GB2312" w:eastAsia="仿宋_GB2312" w:hAnsi="仿宋_GB2312" w:cs="仿宋_GB2312" w:hint="eastAsia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（注：本表可另列清单作补充）</w:t>
      </w:r>
    </w:p>
    <w:p w:rsidR="00850E84" w:rsidRDefault="00850E84" w:rsidP="00850E84">
      <w:pPr>
        <w:spacing w:line="4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二、作业费标准及结算方式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2.作业服务费标准按不高于市场平均价执行。</w:t>
      </w:r>
    </w:p>
    <w:p w:rsidR="00850E84" w:rsidRDefault="00850E84" w:rsidP="00850E84">
      <w:pPr>
        <w:pStyle w:val="a5"/>
        <w:ind w:firstLineChars="200" w:firstLine="560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3.甲方是否预先支付农业社会化服务项目补助资金：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4.商定结算方式：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5.对作业面积有异议时，双方按照实际丈量作业面积计算。</w:t>
      </w:r>
    </w:p>
    <w:p w:rsidR="00850E84" w:rsidRDefault="00850E84" w:rsidP="00850E84">
      <w:pPr>
        <w:spacing w:line="4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三、双方的权利和义务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6.甲方应按照时间要求开展服务，依照操作规程作业，确保安全生产。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7.甲方应按照农艺要求保证作业质量，作业质量应当符合国家或地方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标准要求，或由双方协商确定作业标准。</w:t>
      </w:r>
    </w:p>
    <w:p w:rsidR="00850E84" w:rsidRDefault="00850E84" w:rsidP="00850E84">
      <w:pPr>
        <w:spacing w:line="4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四、违约责任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8.任何一方违约所造成的损失，均由违约方负责赔偿。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9.如果一方需要变更或终止作业合同的，应在作业初始时间前15天（其中机插45天）通知对方，并征得对方同意后方可变更或终止作业合同。给对方造成直接经济损失的，</w:t>
      </w:r>
      <w:r>
        <w:rPr>
          <w:rFonts w:ascii="仿宋_GB2312" w:eastAsia="仿宋_GB2312" w:hAnsi="仿宋_GB2312" w:cs="仿宋_GB2312"/>
          <w:sz w:val="28"/>
          <w:szCs w:val="28"/>
          <w:lang w:val="en"/>
        </w:rPr>
        <w:t>违约</w:t>
      </w:r>
      <w:r>
        <w:rPr>
          <w:rFonts w:ascii="仿宋_GB2312" w:eastAsia="仿宋_GB2312" w:hAnsi="仿宋_GB2312" w:cs="仿宋_GB2312" w:hint="eastAsia"/>
          <w:sz w:val="28"/>
          <w:szCs w:val="28"/>
        </w:rPr>
        <w:t>方应赔偿损失。商定赔偿违约金为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10.因天气等不可抗力或者其他意外事件使得本合同无法履行的，可以解除本合同，双方不承担违约责任。</w:t>
      </w:r>
    </w:p>
    <w:p w:rsidR="00850E84" w:rsidRDefault="00850E84" w:rsidP="00850E84">
      <w:pPr>
        <w:spacing w:line="400" w:lineRule="exact"/>
        <w:ind w:firstLineChars="200" w:firstLine="5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五、其他事宜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11.未尽事宜，甲、乙双方经协调一致可另签订补充协议，其法律效力等同本合同。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12.甲、乙双方发生纠纷，可向当地农业农村部门申请调解，调解不成的可向被告人所在地法院提起诉讼。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13.本合同一式两份，经甲、乙双方签字（盖章）后生效。甲方、乙方各执一份。</w:t>
      </w:r>
    </w:p>
    <w:p w:rsidR="00850E84" w:rsidRDefault="00850E84" w:rsidP="00850E84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14.本合同有效期自2025年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850E84" w:rsidRDefault="00850E84" w:rsidP="00850E84">
      <w:pPr>
        <w:spacing w:before="156"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甲方（盖章）：               负责人身份证号码：</w:t>
      </w:r>
    </w:p>
    <w:p w:rsidR="00850E84" w:rsidRDefault="00850E84" w:rsidP="00850E84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                          联系地址：</w:t>
      </w:r>
    </w:p>
    <w:p w:rsidR="00850E84" w:rsidRDefault="00850E84" w:rsidP="00850E84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50E84" w:rsidRDefault="00850E84" w:rsidP="00850E84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乙方代表（盖章）：                 身份证号码：</w:t>
      </w:r>
    </w:p>
    <w:p w:rsidR="00850E84" w:rsidRDefault="00850E84" w:rsidP="00850E84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                          联系地址：</w:t>
      </w:r>
    </w:p>
    <w:p w:rsidR="00850E84" w:rsidRDefault="00850E84" w:rsidP="00850E84">
      <w:pPr>
        <w:spacing w:before="156" w:line="420" w:lineRule="exact"/>
        <w:rPr>
          <w:rFonts w:ascii="仿宋_GB2312" w:eastAsia="仿宋_GB2312" w:hAnsi="仿宋_GB2312" w:cs="仿宋_GB2312"/>
          <w:sz w:val="28"/>
          <w:szCs w:val="28"/>
          <w:lang w:val="e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卡号或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卡通账号</w:t>
      </w:r>
      <w:r>
        <w:rPr>
          <w:rFonts w:ascii="仿宋_GB2312" w:eastAsia="仿宋_GB2312" w:hAnsi="仿宋_GB2312" w:cs="仿宋_GB2312"/>
          <w:sz w:val="28"/>
          <w:szCs w:val="28"/>
          <w:lang w:val="en"/>
        </w:rPr>
        <w:t>：</w:t>
      </w:r>
    </w:p>
    <w:p w:rsidR="00850E84" w:rsidRDefault="00850E84" w:rsidP="00850E84">
      <w:pPr>
        <w:pStyle w:val="a5"/>
        <w:rPr>
          <w:lang w:val="en"/>
        </w:rPr>
      </w:pPr>
    </w:p>
    <w:p w:rsidR="00850E84" w:rsidRDefault="00850E84" w:rsidP="00850E84">
      <w:pPr>
        <w:rPr>
          <w:lang w:val="en"/>
        </w:rPr>
      </w:pPr>
    </w:p>
    <w:p w:rsidR="00850E84" w:rsidRDefault="00850E84" w:rsidP="00850E84">
      <w:pPr>
        <w:spacing w:before="156" w:line="420" w:lineRule="exact"/>
        <w:sectPr w:rsidR="00850E84">
          <w:footerReference w:type="default" r:id="rId5"/>
          <w:pgSz w:w="11906" w:h="16838"/>
          <w:pgMar w:top="1440" w:right="1287" w:bottom="1440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年   月   日</w:t>
      </w:r>
    </w:p>
    <w:p w:rsidR="00554CB0" w:rsidRDefault="00554CB0"/>
    <w:sectPr w:rsidR="0055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E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679E2" wp14:editId="4AAEBB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34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0E84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2.85pt;margin-top:0;width:64.0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" filled="f" stroked="f" strokeweight=".5pt">
              <v:textbox style="mso-fit-shape-to-text:t" inset="0,0,0,0">
                <w:txbxContent>
                  <w:p w:rsidR="00000000" w:rsidRDefault="00850E84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4"/>
    <w:rsid w:val="00554CB0"/>
    <w:rsid w:val="00850E84"/>
    <w:rsid w:val="009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0E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850E8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850E8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0E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850E8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850E8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饶篮</dc:creator>
  <cp:lastModifiedBy>饶篮</cp:lastModifiedBy>
  <cp:revision>1</cp:revision>
  <dcterms:created xsi:type="dcterms:W3CDTF">2025-01-07T10:17:00Z</dcterms:created>
  <dcterms:modified xsi:type="dcterms:W3CDTF">2025-01-07T10:17:00Z</dcterms:modified>
</cp:coreProperties>
</file>