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0" w:line="546" w:lineRule="exact"/>
        <w:jc w:val="both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附件8</w:t>
      </w:r>
    </w:p>
    <w:p>
      <w:pPr>
        <w:adjustRightInd w:val="0"/>
        <w:snapToGrid w:val="0"/>
        <w:spacing w:afterLines="0" w:line="546" w:lineRule="exact"/>
        <w:jc w:val="center"/>
        <w:rPr>
          <w:rFonts w:hint="eastAsia" w:ascii="Times New Roman" w:hAnsi="Times New Roman" w:eastAsia="方正小标宋简体"/>
          <w:snapToGrid w:val="0"/>
          <w:kern w:val="21"/>
          <w:sz w:val="44"/>
          <w:szCs w:val="44"/>
        </w:rPr>
      </w:pPr>
    </w:p>
    <w:p>
      <w:pPr>
        <w:adjustRightInd w:val="0"/>
        <w:snapToGrid w:val="0"/>
        <w:spacing w:afterLines="0" w:line="546" w:lineRule="exact"/>
        <w:jc w:val="center"/>
        <w:rPr>
          <w:rFonts w:ascii="Times New Roman" w:hAnsi="Times New Roman" w:eastAsia="方正小标宋简体"/>
          <w:snapToGrid w:val="0"/>
          <w:kern w:val="21"/>
          <w:sz w:val="44"/>
          <w:szCs w:val="44"/>
        </w:rPr>
      </w:pPr>
      <w:r>
        <w:rPr>
          <w:rFonts w:hint="eastAsia" w:ascii="Times New Roman" w:hAnsi="Times New Roman" w:eastAsia="方正小标宋简体"/>
          <w:snapToGrid w:val="0"/>
          <w:kern w:val="21"/>
          <w:sz w:val="44"/>
          <w:szCs w:val="44"/>
        </w:rPr>
        <w:t>品种</w:t>
      </w:r>
      <w:r>
        <w:rPr>
          <w:rFonts w:ascii="Times New Roman" w:hAnsi="Times New Roman" w:eastAsia="方正小标宋简体"/>
          <w:snapToGrid w:val="0"/>
          <w:kern w:val="21"/>
          <w:sz w:val="44"/>
          <w:szCs w:val="44"/>
        </w:rPr>
        <w:t>技术类别</w:t>
      </w:r>
      <w:r>
        <w:rPr>
          <w:rFonts w:hint="eastAsia" w:ascii="Times New Roman" w:hAnsi="Times New Roman" w:eastAsia="方正小标宋简体"/>
          <w:snapToGrid w:val="0"/>
          <w:kern w:val="21"/>
          <w:sz w:val="44"/>
          <w:szCs w:val="44"/>
        </w:rPr>
        <w:t>、初核处室和</w:t>
      </w:r>
      <w:r>
        <w:rPr>
          <w:rFonts w:ascii="Times New Roman" w:hAnsi="Times New Roman" w:eastAsia="方正小标宋简体"/>
          <w:snapToGrid w:val="0"/>
          <w:kern w:val="21"/>
          <w:sz w:val="44"/>
          <w:szCs w:val="44"/>
        </w:rPr>
        <w:t>单位名录</w:t>
      </w:r>
    </w:p>
    <w:p>
      <w:pPr>
        <w:adjustRightInd w:val="0"/>
        <w:snapToGrid w:val="0"/>
        <w:spacing w:afterLines="0" w:line="546" w:lineRule="exact"/>
        <w:jc w:val="center"/>
        <w:rPr>
          <w:rFonts w:ascii="Times New Roman" w:hAnsi="Times New Roman" w:eastAsia="方正小标宋简体"/>
          <w:snapToGrid w:val="0"/>
          <w:kern w:val="21"/>
          <w:sz w:val="44"/>
          <w:szCs w:val="44"/>
        </w:rPr>
      </w:pPr>
    </w:p>
    <w:tbl>
      <w:tblPr>
        <w:tblStyle w:val="4"/>
        <w:tblW w:w="14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431"/>
        <w:gridCol w:w="6272"/>
        <w:gridCol w:w="2469"/>
        <w:gridCol w:w="3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类别</w:t>
            </w: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品种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技术类别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牵头行业主管处室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配合业务处站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主推品种</w:t>
            </w: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农作物和畜禽水产品种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种业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种子管理站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、自治区畜禽品种改良站、自治区水产引育种中心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主推技术</w:t>
            </w: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粮食作物类、经济作物类（除桑蚕、茶叶）、蔬菜</w:t>
            </w:r>
          </w:p>
        </w:tc>
        <w:tc>
          <w:tcPr>
            <w:tcW w:w="246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种植业管理处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农业技术推广站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园艺作物类（除蔬菜）</w:t>
            </w:r>
          </w:p>
        </w:tc>
        <w:tc>
          <w:tcPr>
            <w:tcW w:w="246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水果技术指导站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植保类</w:t>
            </w:r>
          </w:p>
        </w:tc>
        <w:tc>
          <w:tcPr>
            <w:tcW w:w="246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植保站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土肥类</w:t>
            </w:r>
          </w:p>
        </w:tc>
        <w:tc>
          <w:tcPr>
            <w:tcW w:w="246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土壤肥料工作站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桑蚕</w:t>
            </w:r>
          </w:p>
        </w:tc>
        <w:tc>
          <w:tcPr>
            <w:tcW w:w="246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自治区蚕业技术推广站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茶叶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乡村产业发展处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茶叶科学研究所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农业生态与资源保护类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科学技术处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农业生态与资源保护站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畜牧类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兽医类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畜牧兽医处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畜牧站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兽医研究所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水产类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渔业渔政管理处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农机类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农业机械化管理处</w:t>
            </w:r>
          </w:p>
        </w:tc>
        <w:tc>
          <w:tcPr>
            <w:tcW w:w="3959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自治区农机中心</w:t>
            </w:r>
          </w:p>
        </w:tc>
      </w:tr>
    </w:tbl>
    <w:p>
      <w:pPr>
        <w:adjustRightInd w:val="0"/>
        <w:snapToGrid w:val="0"/>
        <w:spacing w:line="20" w:lineRule="exact"/>
        <w:rPr>
          <w:rFonts w:hint="default"/>
          <w:lang w:val="e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2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2024-10-12T09:11:55Z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