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03"/>
        <w:gridCol w:w="803"/>
        <w:gridCol w:w="975"/>
        <w:gridCol w:w="879"/>
        <w:gridCol w:w="964"/>
        <w:gridCol w:w="964"/>
        <w:gridCol w:w="1243"/>
        <w:gridCol w:w="857"/>
        <w:gridCol w:w="10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ascii="仿宋" w:hAnsi="仿宋" w:eastAsia="仿宋" w:cs="仿宋"/>
                <w:sz w:val="28"/>
                <w:szCs w:val="28"/>
              </w:rPr>
            </w:pPr>
            <w:r>
              <w:rPr>
                <w:rFonts w:hint="eastAsia" w:ascii="仿宋" w:hAnsi="仿宋" w:eastAsia="仿宋" w:cs="仿宋"/>
                <w:sz w:val="28"/>
                <w:szCs w:val="28"/>
              </w:rPr>
              <w:t>亚热带桑蚕良种安全高效繁育关键技术创新与应用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left"/>
              <w:rPr>
                <w:rFonts w:ascii="仿宋" w:hAnsi="仿宋" w:eastAsia="仿宋" w:cs="仿宋"/>
                <w:sz w:val="28"/>
                <w:szCs w:val="28"/>
              </w:rPr>
            </w:pPr>
            <w:r>
              <w:rPr>
                <w:rFonts w:hint="eastAsia" w:ascii="仿宋" w:hAnsi="仿宋" w:eastAsia="仿宋" w:cs="仿宋"/>
                <w:sz w:val="28"/>
                <w:szCs w:val="28"/>
              </w:rPr>
              <w:t>黄红燕，浦月霞，邢东旭，蓝必忠，杨琼，兰艳妮，贾雪峰，黄扬玉，谭福洋，冉艳萍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left"/>
              <w:rPr>
                <w:rFonts w:ascii="仿宋" w:hAnsi="仿宋" w:eastAsia="仿宋" w:cs="仿宋"/>
                <w:sz w:val="28"/>
                <w:szCs w:val="28"/>
              </w:rPr>
            </w:pPr>
            <w:r>
              <w:rPr>
                <w:rFonts w:hint="eastAsia" w:ascii="仿宋" w:hAnsi="仿宋" w:eastAsia="仿宋" w:cs="仿宋"/>
                <w:sz w:val="28"/>
                <w:szCs w:val="28"/>
              </w:rPr>
              <w:t>广西壮族自治区蚕业技术推广站、广东省农业科学院蚕业与农产品加工研究所、河池市蚕种场（河池市蚕业技术推广站）、兴业县华盛蚕业科技有限责任公司、山东广通蚕种有限公司、广东广新种业有限公司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 w:hAnsi="仿宋" w:eastAsia="仿宋" w:cs="仿宋"/>
                <w:sz w:val="28"/>
                <w:szCs w:val="28"/>
              </w:rPr>
            </w:pPr>
            <w:r>
              <w:rPr>
                <w:rFonts w:hint="eastAsia" w:ascii="仿宋" w:hAnsi="仿宋" w:eastAsia="仿宋" w:cs="仿宋"/>
                <w:sz w:val="28"/>
                <w:szCs w:val="28"/>
              </w:rPr>
              <w:t>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085"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803"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79"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96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96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24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57"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0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发明专利</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sz w:val="18"/>
                <w:szCs w:val="18"/>
              </w:rPr>
              <w:t>喂食接毒5龄末期蚕或穿刺接毒获得BmNPV病蛹的方法</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widowControl/>
              <w:jc w:val="left"/>
              <w:rPr>
                <w:rFonts w:ascii="仿宋" w:hAnsi="仿宋" w:eastAsia="仿宋" w:cs="仿宋"/>
                <w:sz w:val="18"/>
                <w:szCs w:val="18"/>
              </w:rPr>
            </w:pPr>
            <w:r>
              <w:rPr>
                <w:rFonts w:hint="eastAsia" w:ascii="仿宋" w:hAnsi="仿宋" w:eastAsia="仿宋" w:cs="仿宋"/>
                <w:color w:val="000000"/>
                <w:kern w:val="0"/>
                <w:sz w:val="18"/>
                <w:szCs w:val="18"/>
                <w:lang w:bidi="ar"/>
              </w:rPr>
              <w:t xml:space="preserve">ZL 2022 1 0453433.7 </w:t>
            </w:r>
          </w:p>
          <w:p>
            <w:pPr>
              <w:spacing w:line="260" w:lineRule="exact"/>
              <w:jc w:val="center"/>
              <w:rPr>
                <w:rFonts w:ascii="仿宋" w:hAnsi="仿宋" w:eastAsia="仿宋" w:cs="仿宋"/>
                <w:bCs/>
                <w:sz w:val="18"/>
                <w:szCs w:val="18"/>
              </w:rPr>
            </w:pP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2023.02.07</w:t>
            </w:r>
          </w:p>
        </w:tc>
        <w:tc>
          <w:tcPr>
            <w:tcW w:w="964" w:type="dxa"/>
            <w:tcMar>
              <w:left w:w="57" w:type="dxa"/>
              <w:right w:w="57" w:type="dxa"/>
            </w:tcMar>
            <w:vAlign w:val="center"/>
          </w:tcPr>
          <w:p>
            <w:pPr>
              <w:widowControl/>
              <w:jc w:val="left"/>
              <w:rPr>
                <w:rFonts w:ascii="仿宋" w:hAnsi="仿宋" w:eastAsia="仿宋" w:cs="仿宋"/>
                <w:sz w:val="18"/>
                <w:szCs w:val="18"/>
              </w:rPr>
            </w:pPr>
            <w:r>
              <w:rPr>
                <w:rFonts w:hint="eastAsia" w:ascii="仿宋" w:hAnsi="仿宋" w:eastAsia="仿宋" w:cs="仿宋"/>
                <w:color w:val="000000"/>
                <w:kern w:val="0"/>
                <w:sz w:val="18"/>
                <w:szCs w:val="18"/>
                <w:lang w:bidi="ar"/>
              </w:rPr>
              <w:t>证书号第5731377号</w:t>
            </w:r>
          </w:p>
          <w:p>
            <w:pPr>
              <w:spacing w:line="260" w:lineRule="exact"/>
              <w:jc w:val="center"/>
              <w:rPr>
                <w:rFonts w:ascii="仿宋" w:hAnsi="仿宋" w:eastAsia="仿宋" w:cs="仿宋"/>
                <w:bCs/>
                <w:sz w:val="18"/>
                <w:szCs w:val="18"/>
              </w:rPr>
            </w:pPr>
          </w:p>
        </w:tc>
        <w:tc>
          <w:tcPr>
            <w:tcW w:w="964" w:type="dxa"/>
            <w:tcMar>
              <w:left w:w="57" w:type="dxa"/>
              <w:right w:w="57" w:type="dxa"/>
            </w:tcMar>
            <w:vAlign w:val="center"/>
          </w:tcPr>
          <w:p>
            <w:pPr>
              <w:widowControl/>
              <w:jc w:val="left"/>
              <w:rPr>
                <w:rFonts w:ascii="仿宋" w:hAnsi="仿宋" w:eastAsia="仿宋" w:cs="仿宋"/>
                <w:sz w:val="18"/>
                <w:szCs w:val="18"/>
              </w:rPr>
            </w:pPr>
            <w:r>
              <w:rPr>
                <w:rFonts w:hint="eastAsia" w:ascii="仿宋" w:hAnsi="仿宋" w:eastAsia="仿宋" w:cs="仿宋"/>
                <w:color w:val="000000"/>
                <w:kern w:val="0"/>
                <w:sz w:val="18"/>
                <w:szCs w:val="18"/>
                <w:lang w:bidi="ar"/>
              </w:rPr>
              <w:t xml:space="preserve">广西壮族自治区蚕业技术推广站 </w:t>
            </w:r>
          </w:p>
          <w:p>
            <w:pPr>
              <w:spacing w:line="260" w:lineRule="exact"/>
              <w:jc w:val="center"/>
              <w:rPr>
                <w:rFonts w:ascii="仿宋" w:hAnsi="仿宋" w:eastAsia="仿宋" w:cs="仿宋"/>
                <w:bCs/>
                <w:sz w:val="18"/>
                <w:szCs w:val="18"/>
              </w:rPr>
            </w:pPr>
          </w:p>
        </w:tc>
        <w:tc>
          <w:tcPr>
            <w:tcW w:w="1243" w:type="dxa"/>
            <w:tcMar>
              <w:left w:w="57" w:type="dxa"/>
              <w:right w:w="57" w:type="dxa"/>
            </w:tcMar>
            <w:vAlign w:val="center"/>
          </w:tcPr>
          <w:p>
            <w:pPr>
              <w:widowControl/>
              <w:jc w:val="left"/>
              <w:rPr>
                <w:rFonts w:ascii="仿宋" w:hAnsi="仿宋" w:eastAsia="仿宋" w:cs="仿宋"/>
                <w:bCs/>
                <w:sz w:val="18"/>
                <w:szCs w:val="18"/>
              </w:rPr>
            </w:pPr>
            <w:r>
              <w:rPr>
                <w:rFonts w:hint="eastAsia" w:ascii="仿宋" w:hAnsi="仿宋" w:eastAsia="仿宋" w:cs="仿宋"/>
                <w:color w:val="000000"/>
                <w:kern w:val="0"/>
                <w:sz w:val="18"/>
                <w:szCs w:val="18"/>
                <w:lang w:bidi="ar"/>
              </w:rPr>
              <w:t>黄文功，安春梅，浦月霞，吴静颜，兰艳妮，李枫烨，谭福洋，刘艳伟，黄胜，苏红梅，韦博尤，黄玲莉，闭立辉，张桂征，蒙艺英，黄扬玉，陶积阳，陆俣伽，黄凌，罗群，杨奇保，毛洪斌，冉艳萍，覃萍，苏艳环，卢柏强</w:t>
            </w: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有效</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发明专利</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针对四元杂交种家蚕微粒子病胚种垂直传播的防治方法</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 xml:space="preserve">ZL 2017 1 0462723.7 </w:t>
            </w:r>
          </w:p>
          <w:p>
            <w:pPr>
              <w:spacing w:line="260" w:lineRule="exact"/>
              <w:jc w:val="center"/>
              <w:rPr>
                <w:rFonts w:ascii="仿宋" w:hAnsi="仿宋" w:eastAsia="仿宋" w:cs="仿宋"/>
                <w:bCs/>
                <w:sz w:val="18"/>
                <w:szCs w:val="18"/>
              </w:rPr>
            </w:pP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2018.06.19</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证书号第 2964214号</w:t>
            </w:r>
          </w:p>
          <w:p>
            <w:pPr>
              <w:spacing w:line="260" w:lineRule="exact"/>
              <w:jc w:val="center"/>
              <w:rPr>
                <w:rFonts w:ascii="仿宋" w:hAnsi="仿宋" w:eastAsia="仿宋" w:cs="仿宋"/>
                <w:bCs/>
                <w:sz w:val="18"/>
                <w:szCs w:val="18"/>
              </w:rPr>
            </w:pP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广东省农业科学院蚕业与农产品加工研究所</w:t>
            </w:r>
          </w:p>
        </w:tc>
        <w:tc>
          <w:tcPr>
            <w:tcW w:w="1243" w:type="dxa"/>
            <w:tcMar>
              <w:left w:w="57" w:type="dxa"/>
              <w:right w:w="57" w:type="dxa"/>
            </w:tcMar>
            <w:vAlign w:val="center"/>
          </w:tcPr>
          <w:p>
            <w:pPr>
              <w:spacing w:line="260" w:lineRule="exact"/>
              <w:jc w:val="left"/>
              <w:rPr>
                <w:rFonts w:ascii="仿宋" w:hAnsi="仿宋" w:eastAsia="仿宋" w:cs="仿宋"/>
                <w:bCs/>
                <w:sz w:val="18"/>
                <w:szCs w:val="18"/>
              </w:rPr>
            </w:pPr>
            <w:r>
              <w:rPr>
                <w:rFonts w:hint="eastAsia" w:ascii="仿宋" w:hAnsi="仿宋" w:eastAsia="仿宋" w:cs="仿宋"/>
                <w:bCs/>
                <w:sz w:val="18"/>
                <w:szCs w:val="18"/>
              </w:rPr>
              <w:t>邢东旭，杨琼，廖森泰，李庆荣，肖阳，赵超艺，叶明强</w:t>
            </w:r>
          </w:p>
          <w:p>
            <w:pPr>
              <w:spacing w:line="260" w:lineRule="exact"/>
              <w:jc w:val="left"/>
              <w:rPr>
                <w:rFonts w:ascii="仿宋" w:hAnsi="仿宋" w:eastAsia="仿宋" w:cs="仿宋"/>
                <w:bCs/>
                <w:sz w:val="18"/>
                <w:szCs w:val="18"/>
              </w:rPr>
            </w:pP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有效</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发明专利</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一种蚕沙无害化静态好氧堆肥处理方法</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ZL 2012 1 0338974.1</w:t>
            </w: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2014.09.10</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证书号第 1478671号</w:t>
            </w:r>
          </w:p>
          <w:p>
            <w:pPr>
              <w:spacing w:line="260" w:lineRule="exact"/>
              <w:jc w:val="center"/>
              <w:rPr>
                <w:rFonts w:ascii="仿宋" w:hAnsi="仿宋" w:eastAsia="仿宋" w:cs="仿宋"/>
                <w:bCs/>
                <w:sz w:val="18"/>
                <w:szCs w:val="18"/>
              </w:rPr>
            </w:pP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广东省农业科学院蚕业与农产品加工研究所，广东省农业科学院土壤肥料研究所</w:t>
            </w:r>
          </w:p>
        </w:tc>
        <w:tc>
          <w:tcPr>
            <w:tcW w:w="1243" w:type="dxa"/>
            <w:tcMar>
              <w:left w:w="57" w:type="dxa"/>
              <w:right w:w="57" w:type="dxa"/>
            </w:tcMar>
            <w:vAlign w:val="center"/>
          </w:tcPr>
          <w:p>
            <w:pPr>
              <w:spacing w:line="260" w:lineRule="exact"/>
              <w:jc w:val="left"/>
              <w:rPr>
                <w:rFonts w:ascii="仿宋" w:hAnsi="仿宋" w:eastAsia="仿宋" w:cs="仿宋"/>
                <w:bCs/>
                <w:sz w:val="18"/>
                <w:szCs w:val="18"/>
              </w:rPr>
            </w:pPr>
            <w:r>
              <w:rPr>
                <w:rFonts w:hint="eastAsia" w:ascii="仿宋" w:hAnsi="仿宋" w:eastAsia="仿宋" w:cs="仿宋"/>
                <w:bCs/>
                <w:sz w:val="18"/>
                <w:szCs w:val="18"/>
              </w:rPr>
              <w:t>杨琼，廖森泰，邢东旭，张发宝，李丽，罗国庆，肖更生，吴福泉，肖阳，李庆荣</w:t>
            </w: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失效</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发明专利</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一种基于数字图像处理技术的蚕卵自动计数方法</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ZL 2017 1 1053096.8</w:t>
            </w: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2021.10.12</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证书号第 4729732号</w:t>
            </w:r>
          </w:p>
          <w:p>
            <w:pPr>
              <w:spacing w:line="260" w:lineRule="exact"/>
              <w:jc w:val="center"/>
              <w:rPr>
                <w:rFonts w:ascii="仿宋" w:hAnsi="仿宋" w:eastAsia="仿宋" w:cs="仿宋"/>
                <w:bCs/>
                <w:sz w:val="18"/>
                <w:szCs w:val="18"/>
              </w:rPr>
            </w:pP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 xml:space="preserve">青岛大学，山东省鲁丝桑蚕种质量检验所有限公司，山东广通蚕种有限公司 </w:t>
            </w:r>
          </w:p>
        </w:tc>
        <w:tc>
          <w:tcPr>
            <w:tcW w:w="1243" w:type="dxa"/>
            <w:tcMar>
              <w:left w:w="57" w:type="dxa"/>
              <w:right w:w="57" w:type="dxa"/>
            </w:tcMar>
            <w:vAlign w:val="center"/>
          </w:tcPr>
          <w:p>
            <w:pPr>
              <w:spacing w:line="260" w:lineRule="exact"/>
              <w:jc w:val="left"/>
              <w:rPr>
                <w:rFonts w:ascii="仿宋" w:hAnsi="仿宋" w:eastAsia="仿宋" w:cs="仿宋"/>
                <w:bCs/>
                <w:sz w:val="18"/>
                <w:szCs w:val="18"/>
              </w:rPr>
            </w:pPr>
            <w:r>
              <w:rPr>
                <w:rFonts w:hint="eastAsia" w:ascii="仿宋" w:hAnsi="仿宋" w:eastAsia="仿宋" w:cs="仿宋"/>
                <w:bCs/>
                <w:sz w:val="18"/>
                <w:szCs w:val="18"/>
              </w:rPr>
              <w:t>王国栋，刘金凤，郭钊义，徐洁，房德文</w:t>
            </w:r>
          </w:p>
          <w:p>
            <w:pPr>
              <w:spacing w:line="260" w:lineRule="exact"/>
              <w:jc w:val="left"/>
              <w:rPr>
                <w:rFonts w:ascii="仿宋" w:hAnsi="仿宋" w:eastAsia="仿宋" w:cs="仿宋"/>
                <w:bCs/>
                <w:sz w:val="18"/>
                <w:szCs w:val="18"/>
              </w:rPr>
            </w:pP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有效</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计算机软件著作</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亚热带家蚕品种母种自动筛选系统1.0.0</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2020SR1829933</w:t>
            </w: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2020.12.16</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中华人民共和国国家版权局</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广西壮族自治区蚕业技术推广站</w:t>
            </w:r>
          </w:p>
        </w:tc>
        <w:tc>
          <w:tcPr>
            <w:tcW w:w="1243" w:type="dxa"/>
            <w:tcMar>
              <w:left w:w="57" w:type="dxa"/>
              <w:right w:w="57" w:type="dxa"/>
            </w:tcMar>
            <w:vAlign w:val="center"/>
          </w:tcPr>
          <w:p>
            <w:pPr>
              <w:spacing w:line="260" w:lineRule="exact"/>
              <w:jc w:val="left"/>
              <w:rPr>
                <w:rFonts w:ascii="仿宋" w:hAnsi="仿宋" w:eastAsia="仿宋" w:cs="仿宋"/>
                <w:bCs/>
                <w:sz w:val="18"/>
                <w:szCs w:val="18"/>
              </w:rPr>
            </w:pPr>
            <w:r>
              <w:rPr>
                <w:rFonts w:hint="eastAsia" w:ascii="仿宋" w:hAnsi="仿宋" w:eastAsia="仿宋" w:cs="仿宋"/>
                <w:bCs/>
                <w:sz w:val="18"/>
                <w:szCs w:val="18"/>
              </w:rPr>
              <w:t>浦月霞，汤庆坤，兰艳妮，李枫烨，冉艳萍</w:t>
            </w: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实用新型专利</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空气直吹多层桑叶晾干机</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 xml:space="preserve">ZL 2023 2 1099474.7 </w:t>
            </w:r>
          </w:p>
          <w:p>
            <w:pPr>
              <w:spacing w:line="260" w:lineRule="exact"/>
              <w:jc w:val="center"/>
              <w:rPr>
                <w:rFonts w:ascii="仿宋" w:hAnsi="仿宋" w:eastAsia="仿宋" w:cs="仿宋"/>
                <w:bCs/>
                <w:sz w:val="18"/>
                <w:szCs w:val="18"/>
              </w:rPr>
            </w:pP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2024.03.22</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 xml:space="preserve">证书号第20632785号 </w:t>
            </w:r>
          </w:p>
          <w:p>
            <w:pPr>
              <w:spacing w:line="260" w:lineRule="exact"/>
              <w:jc w:val="center"/>
              <w:rPr>
                <w:rFonts w:ascii="仿宋" w:hAnsi="仿宋" w:eastAsia="仿宋" w:cs="仿宋"/>
                <w:bCs/>
                <w:sz w:val="18"/>
                <w:szCs w:val="18"/>
              </w:rPr>
            </w:pP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 xml:space="preserve">广西壮族自治区蚕业技术推广站 </w:t>
            </w:r>
          </w:p>
          <w:p>
            <w:pPr>
              <w:spacing w:line="260" w:lineRule="exact"/>
              <w:jc w:val="center"/>
              <w:rPr>
                <w:rFonts w:ascii="仿宋" w:hAnsi="仿宋" w:eastAsia="仿宋" w:cs="仿宋"/>
                <w:bCs/>
                <w:sz w:val="18"/>
                <w:szCs w:val="18"/>
              </w:rPr>
            </w:pPr>
          </w:p>
        </w:tc>
        <w:tc>
          <w:tcPr>
            <w:tcW w:w="1243" w:type="dxa"/>
            <w:tcMar>
              <w:left w:w="57" w:type="dxa"/>
              <w:right w:w="57" w:type="dxa"/>
            </w:tcMar>
            <w:vAlign w:val="center"/>
          </w:tcPr>
          <w:p>
            <w:pPr>
              <w:spacing w:line="260" w:lineRule="exact"/>
              <w:jc w:val="left"/>
              <w:rPr>
                <w:rFonts w:ascii="仿宋" w:hAnsi="仿宋" w:eastAsia="仿宋" w:cs="仿宋"/>
                <w:bCs/>
                <w:sz w:val="18"/>
                <w:szCs w:val="18"/>
              </w:rPr>
            </w:pPr>
            <w:r>
              <w:rPr>
                <w:rFonts w:hint="eastAsia" w:ascii="仿宋" w:hAnsi="仿宋" w:eastAsia="仿宋" w:cs="仿宋"/>
                <w:bCs/>
                <w:sz w:val="18"/>
                <w:szCs w:val="18"/>
              </w:rPr>
              <w:t>浦月霞，谭福洋，吴静颜，黄红燕，汤庆坤，兰艳妮，李枫烨，黄扬玉，闭立辉，黄文功，罗坚，杨</w:t>
            </w:r>
            <w:r>
              <w:rPr>
                <w:rFonts w:ascii="仿宋" w:hAnsi="仿宋" w:eastAsia="仿宋" w:cs="仿宋"/>
                <w:bCs/>
                <w:sz w:val="18"/>
                <w:szCs w:val="18"/>
              </w:rPr>
              <w:t>杰</w:t>
            </w:r>
            <w:r>
              <w:rPr>
                <w:rFonts w:hint="eastAsia" w:ascii="仿宋" w:hAnsi="仿宋" w:eastAsia="仿宋" w:cs="仿宋"/>
                <w:bCs/>
                <w:sz w:val="18"/>
                <w:szCs w:val="18"/>
              </w:rPr>
              <w:t>，</w:t>
            </w:r>
            <w:r>
              <w:rPr>
                <w:rFonts w:ascii="仿宋" w:hAnsi="仿宋" w:eastAsia="仿宋" w:cs="仿宋"/>
                <w:bCs/>
                <w:sz w:val="18"/>
                <w:szCs w:val="18"/>
              </w:rPr>
              <w:t>冉艳萍</w:t>
            </w:r>
            <w:r>
              <w:rPr>
                <w:rFonts w:hint="eastAsia" w:ascii="仿宋" w:hAnsi="仿宋" w:eastAsia="仿宋" w:cs="仿宋"/>
                <w:bCs/>
                <w:sz w:val="18"/>
                <w:szCs w:val="18"/>
              </w:rPr>
              <w:t>，</w:t>
            </w:r>
            <w:r>
              <w:rPr>
                <w:rFonts w:ascii="仿宋" w:hAnsi="仿宋" w:eastAsia="仿宋" w:cs="仿宋"/>
                <w:bCs/>
                <w:sz w:val="18"/>
                <w:szCs w:val="18"/>
              </w:rPr>
              <w:t>黄尚勇</w:t>
            </w:r>
            <w:r>
              <w:rPr>
                <w:rFonts w:hint="eastAsia" w:ascii="仿宋" w:hAnsi="仿宋" w:eastAsia="仿宋" w:cs="仿宋"/>
                <w:bCs/>
                <w:sz w:val="18"/>
                <w:szCs w:val="18"/>
              </w:rPr>
              <w:t>，</w:t>
            </w:r>
            <w:r>
              <w:rPr>
                <w:rFonts w:ascii="仿宋" w:hAnsi="仿宋" w:eastAsia="仿宋" w:cs="仿宋"/>
                <w:bCs/>
                <w:sz w:val="18"/>
                <w:szCs w:val="18"/>
              </w:rPr>
              <w:t>黄玲莉</w:t>
            </w:r>
            <w:r>
              <w:rPr>
                <w:rFonts w:hint="eastAsia" w:ascii="仿宋" w:hAnsi="仿宋" w:eastAsia="仿宋" w:cs="仿宋"/>
                <w:bCs/>
                <w:sz w:val="18"/>
                <w:szCs w:val="18"/>
              </w:rPr>
              <w:t>，</w:t>
            </w:r>
            <w:r>
              <w:rPr>
                <w:rFonts w:ascii="仿宋" w:hAnsi="仿宋" w:eastAsia="仿宋" w:cs="仿宋"/>
                <w:bCs/>
                <w:sz w:val="18"/>
                <w:szCs w:val="18"/>
              </w:rPr>
              <w:t>罗群</w:t>
            </w:r>
            <w:r>
              <w:rPr>
                <w:rFonts w:hint="eastAsia" w:ascii="仿宋" w:hAnsi="仿宋" w:eastAsia="仿宋" w:cs="仿宋"/>
                <w:bCs/>
                <w:sz w:val="18"/>
                <w:szCs w:val="18"/>
              </w:rPr>
              <w:t>，</w:t>
            </w:r>
            <w:r>
              <w:rPr>
                <w:rFonts w:ascii="仿宋" w:hAnsi="仿宋" w:eastAsia="仿宋" w:cs="仿宋"/>
                <w:bCs/>
                <w:sz w:val="18"/>
                <w:szCs w:val="18"/>
              </w:rPr>
              <w:t>刘艳伟</w:t>
            </w:r>
            <w:r>
              <w:rPr>
                <w:rFonts w:hint="eastAsia" w:ascii="仿宋" w:hAnsi="仿宋" w:eastAsia="仿宋" w:cs="仿宋"/>
                <w:bCs/>
                <w:sz w:val="18"/>
                <w:szCs w:val="18"/>
              </w:rPr>
              <w:t>，</w:t>
            </w:r>
            <w:r>
              <w:rPr>
                <w:rFonts w:ascii="仿宋" w:hAnsi="仿宋" w:eastAsia="仿宋" w:cs="仿宋"/>
                <w:bCs/>
                <w:sz w:val="18"/>
                <w:szCs w:val="18"/>
              </w:rPr>
              <w:t>韦博尤</w:t>
            </w:r>
            <w:r>
              <w:rPr>
                <w:rFonts w:hint="eastAsia" w:ascii="仿宋" w:hAnsi="仿宋" w:eastAsia="仿宋" w:cs="仿宋"/>
                <w:bCs/>
                <w:sz w:val="18"/>
                <w:szCs w:val="18"/>
              </w:rPr>
              <w:t>，</w:t>
            </w:r>
            <w:r>
              <w:rPr>
                <w:rFonts w:ascii="仿宋" w:hAnsi="仿宋" w:eastAsia="仿宋" w:cs="仿宋"/>
                <w:bCs/>
                <w:sz w:val="18"/>
                <w:szCs w:val="18"/>
              </w:rPr>
              <w:t>安春梅</w:t>
            </w:r>
            <w:r>
              <w:rPr>
                <w:rFonts w:hint="eastAsia" w:ascii="仿宋" w:hAnsi="仿宋" w:eastAsia="仿宋" w:cs="仿宋"/>
                <w:bCs/>
                <w:sz w:val="18"/>
                <w:szCs w:val="18"/>
              </w:rPr>
              <w:t>，</w:t>
            </w:r>
            <w:r>
              <w:rPr>
                <w:rFonts w:ascii="仿宋" w:hAnsi="仿宋" w:eastAsia="仿宋" w:cs="仿宋"/>
                <w:bCs/>
                <w:sz w:val="18"/>
                <w:szCs w:val="18"/>
              </w:rPr>
              <w:t>黄胜</w:t>
            </w:r>
            <w:r>
              <w:rPr>
                <w:rFonts w:hint="eastAsia" w:ascii="仿宋" w:hAnsi="仿宋" w:eastAsia="仿宋" w:cs="仿宋"/>
                <w:bCs/>
                <w:sz w:val="18"/>
                <w:szCs w:val="18"/>
              </w:rPr>
              <w:t>，</w:t>
            </w:r>
            <w:r>
              <w:rPr>
                <w:rFonts w:ascii="仿宋" w:hAnsi="仿宋" w:eastAsia="仿宋" w:cs="仿宋"/>
                <w:bCs/>
                <w:sz w:val="18"/>
                <w:szCs w:val="18"/>
              </w:rPr>
              <w:t>苏红梅</w:t>
            </w:r>
            <w:r>
              <w:rPr>
                <w:rFonts w:hint="eastAsia" w:ascii="仿宋" w:hAnsi="仿宋" w:eastAsia="仿宋" w:cs="仿宋"/>
                <w:bCs/>
                <w:sz w:val="18"/>
                <w:szCs w:val="18"/>
              </w:rPr>
              <w:t>，</w:t>
            </w:r>
            <w:r>
              <w:rPr>
                <w:rFonts w:ascii="仿宋" w:hAnsi="仿宋" w:eastAsia="仿宋" w:cs="仿宋"/>
                <w:bCs/>
                <w:sz w:val="18"/>
                <w:szCs w:val="18"/>
              </w:rPr>
              <w:t>蒙艺英</w:t>
            </w:r>
            <w:r>
              <w:rPr>
                <w:rFonts w:hint="eastAsia" w:ascii="仿宋" w:hAnsi="仿宋" w:eastAsia="仿宋" w:cs="仿宋"/>
                <w:bCs/>
                <w:sz w:val="18"/>
                <w:szCs w:val="18"/>
              </w:rPr>
              <w:t>，</w:t>
            </w:r>
            <w:r>
              <w:rPr>
                <w:rFonts w:ascii="仿宋" w:hAnsi="仿宋" w:eastAsia="仿宋" w:cs="仿宋"/>
                <w:bCs/>
                <w:sz w:val="18"/>
                <w:szCs w:val="18"/>
              </w:rPr>
              <w:t>黄凌</w:t>
            </w:r>
            <w:r>
              <w:rPr>
                <w:rFonts w:hint="eastAsia" w:ascii="仿宋" w:hAnsi="仿宋" w:eastAsia="仿宋" w:cs="仿宋"/>
                <w:bCs/>
                <w:sz w:val="18"/>
                <w:szCs w:val="18"/>
              </w:rPr>
              <w:t>，</w:t>
            </w:r>
            <w:r>
              <w:rPr>
                <w:rFonts w:ascii="仿宋" w:hAnsi="仿宋" w:eastAsia="仿宋" w:cs="仿宋"/>
                <w:bCs/>
                <w:sz w:val="18"/>
                <w:szCs w:val="18"/>
              </w:rPr>
              <w:t>赖艳梅</w:t>
            </w:r>
            <w:r>
              <w:rPr>
                <w:rFonts w:hint="eastAsia" w:ascii="仿宋" w:hAnsi="仿宋" w:eastAsia="仿宋" w:cs="仿宋"/>
                <w:bCs/>
                <w:sz w:val="18"/>
                <w:szCs w:val="18"/>
              </w:rPr>
              <w:t>，</w:t>
            </w:r>
            <w:r>
              <w:rPr>
                <w:rFonts w:ascii="仿宋" w:hAnsi="仿宋" w:eastAsia="仿宋" w:cs="仿宋"/>
                <w:bCs/>
                <w:sz w:val="18"/>
                <w:szCs w:val="18"/>
              </w:rPr>
              <w:t>叶建蔚</w:t>
            </w:r>
            <w:r>
              <w:rPr>
                <w:rFonts w:hint="eastAsia" w:ascii="仿宋" w:hAnsi="仿宋" w:eastAsia="仿宋" w:cs="仿宋"/>
                <w:bCs/>
                <w:sz w:val="18"/>
                <w:szCs w:val="18"/>
              </w:rPr>
              <w:t>，</w:t>
            </w:r>
            <w:r>
              <w:rPr>
                <w:rFonts w:ascii="仿宋" w:hAnsi="仿宋" w:eastAsia="仿宋" w:cs="仿宋"/>
                <w:bCs/>
                <w:sz w:val="18"/>
                <w:szCs w:val="18"/>
              </w:rPr>
              <w:t>莫炳巧</w:t>
            </w:r>
            <w:r>
              <w:rPr>
                <w:rFonts w:hint="eastAsia" w:ascii="仿宋" w:hAnsi="仿宋" w:eastAsia="仿宋" w:cs="仿宋"/>
                <w:bCs/>
                <w:sz w:val="18"/>
                <w:szCs w:val="18"/>
              </w:rPr>
              <w:t>，</w:t>
            </w:r>
            <w:r>
              <w:rPr>
                <w:rFonts w:ascii="仿宋" w:hAnsi="仿宋" w:eastAsia="仿宋" w:cs="仿宋"/>
                <w:bCs/>
                <w:sz w:val="18"/>
                <w:szCs w:val="18"/>
              </w:rPr>
              <w:t>覃萍</w:t>
            </w:r>
            <w:r>
              <w:rPr>
                <w:rFonts w:hint="eastAsia" w:ascii="仿宋" w:hAnsi="仿宋" w:eastAsia="仿宋" w:cs="仿宋"/>
                <w:bCs/>
                <w:sz w:val="18"/>
                <w:szCs w:val="18"/>
              </w:rPr>
              <w:t>，</w:t>
            </w:r>
            <w:r>
              <w:rPr>
                <w:rFonts w:ascii="仿宋" w:hAnsi="仿宋" w:eastAsia="仿宋" w:cs="仿宋"/>
                <w:bCs/>
                <w:sz w:val="18"/>
                <w:szCs w:val="18"/>
              </w:rPr>
              <w:t>苏艳环</w:t>
            </w:r>
            <w:r>
              <w:rPr>
                <w:rFonts w:hint="eastAsia" w:ascii="仿宋" w:hAnsi="仿宋" w:eastAsia="仿宋" w:cs="仿宋"/>
                <w:bCs/>
                <w:sz w:val="18"/>
                <w:szCs w:val="18"/>
              </w:rPr>
              <w:t>，</w:t>
            </w:r>
            <w:r>
              <w:rPr>
                <w:rFonts w:ascii="仿宋" w:hAnsi="仿宋" w:eastAsia="仿宋" w:cs="仿宋"/>
                <w:bCs/>
                <w:sz w:val="18"/>
                <w:szCs w:val="18"/>
              </w:rPr>
              <w:t>罗建生</w:t>
            </w:r>
            <w:r>
              <w:rPr>
                <w:rFonts w:hint="eastAsia" w:ascii="仿宋" w:hAnsi="仿宋" w:eastAsia="仿宋" w:cs="仿宋"/>
                <w:bCs/>
                <w:sz w:val="18"/>
                <w:szCs w:val="18"/>
              </w:rPr>
              <w:t>，</w:t>
            </w:r>
            <w:r>
              <w:rPr>
                <w:rFonts w:ascii="仿宋" w:hAnsi="仿宋" w:eastAsia="仿宋" w:cs="仿宋"/>
                <w:bCs/>
                <w:sz w:val="18"/>
                <w:szCs w:val="18"/>
              </w:rPr>
              <w:t>刘升</w:t>
            </w: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有效</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团体标准</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家蚕抗高温多湿品种选育保育技术规程</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T/GXAS 682-2024</w:t>
            </w: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2024.02.26</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广西标准化协会</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广西壮族自治区蚕业技术推广站，广西农业工程职业技术学院，河池市蚕业技术推广站，兴业县华盛蚕业科技有限责任公司</w:t>
            </w:r>
          </w:p>
          <w:p>
            <w:pPr>
              <w:spacing w:line="260" w:lineRule="exact"/>
              <w:jc w:val="center"/>
              <w:rPr>
                <w:rFonts w:ascii="仿宋" w:hAnsi="仿宋" w:eastAsia="仿宋" w:cs="仿宋"/>
                <w:bCs/>
                <w:sz w:val="18"/>
                <w:szCs w:val="18"/>
              </w:rPr>
            </w:pPr>
          </w:p>
        </w:tc>
        <w:tc>
          <w:tcPr>
            <w:tcW w:w="1243" w:type="dxa"/>
            <w:tcMar>
              <w:left w:w="57" w:type="dxa"/>
              <w:right w:w="57" w:type="dxa"/>
            </w:tcMar>
            <w:vAlign w:val="center"/>
          </w:tcPr>
          <w:p>
            <w:pPr>
              <w:spacing w:line="260" w:lineRule="exact"/>
              <w:jc w:val="left"/>
              <w:rPr>
                <w:rFonts w:ascii="仿宋" w:hAnsi="仿宋" w:eastAsia="仿宋" w:cs="仿宋"/>
                <w:bCs/>
                <w:sz w:val="18"/>
                <w:szCs w:val="18"/>
              </w:rPr>
            </w:pPr>
            <w:r>
              <w:rPr>
                <w:rFonts w:hint="eastAsia" w:ascii="仿宋" w:hAnsi="仿宋" w:eastAsia="仿宋" w:cs="仿宋"/>
                <w:bCs/>
                <w:sz w:val="18"/>
                <w:szCs w:val="18"/>
              </w:rPr>
              <w:t>兰艳妮，闭立辉，浦月霞，黄红燕，黄扬玉，李枫烨，谭福洋，吴静颜，刘艳伟，罗群，黄文功，黄玲莉，安春梅，韦博尤，苏红梅，黄凌，马靖羽，毛洪斌，蒙艺英，叶建蔚，莫柳静，韦炳佩，毛威，石海潜，覃龙伟，张寿彬，陈振烽，李嘉</w:t>
            </w:r>
          </w:p>
          <w:p>
            <w:pPr>
              <w:spacing w:line="260" w:lineRule="exact"/>
              <w:jc w:val="left"/>
              <w:rPr>
                <w:rFonts w:ascii="仿宋" w:hAnsi="仿宋" w:eastAsia="仿宋" w:cs="仿宋"/>
                <w:bCs/>
                <w:sz w:val="18"/>
                <w:szCs w:val="18"/>
              </w:rPr>
            </w:pPr>
          </w:p>
        </w:tc>
        <w:tc>
          <w:tcPr>
            <w:tcW w:w="857" w:type="dxa"/>
            <w:tcMar>
              <w:left w:w="57" w:type="dxa"/>
              <w:right w:w="57" w:type="dxa"/>
            </w:tcMar>
            <w:vAlign w:val="center"/>
          </w:tcPr>
          <w:p>
            <w:pPr>
              <w:spacing w:line="260" w:lineRule="exact"/>
              <w:jc w:val="center"/>
              <w:rPr>
                <w:rFonts w:ascii="仿宋" w:hAnsi="仿宋" w:eastAsia="仿宋" w:cs="仿宋"/>
                <w:bCs/>
                <w:sz w:val="18"/>
                <w:szCs w:val="18"/>
                <w:highlight w:val="yellow"/>
              </w:rPr>
            </w:pPr>
            <w:r>
              <w:rPr>
                <w:rFonts w:hint="eastAsia" w:ascii="仿宋" w:hAnsi="仿宋" w:eastAsia="仿宋" w:cs="仿宋"/>
                <w:bCs/>
                <w:sz w:val="18"/>
                <w:szCs w:val="18"/>
              </w:rPr>
              <w:t>有效</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团体标准</w:t>
            </w:r>
          </w:p>
        </w:tc>
        <w:tc>
          <w:tcPr>
            <w:tcW w:w="1085" w:type="dxa"/>
            <w:gridSpan w:val="2"/>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强健性家蚕品种原种繁育技术规程</w:t>
            </w:r>
          </w:p>
        </w:tc>
        <w:tc>
          <w:tcPr>
            <w:tcW w:w="80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中国</w:t>
            </w:r>
          </w:p>
        </w:tc>
        <w:tc>
          <w:tcPr>
            <w:tcW w:w="97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T/GXAS 723-2024</w:t>
            </w:r>
          </w:p>
        </w:tc>
        <w:tc>
          <w:tcPr>
            <w:tcW w:w="879"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2024.05.24</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广西标准化协会</w:t>
            </w:r>
          </w:p>
        </w:tc>
        <w:tc>
          <w:tcPr>
            <w:tcW w:w="964"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广西壮族自治区蚕业技术推广站，河池市蚕业技术推广站，兴业县华盛蚕业科技有限责任公司</w:t>
            </w:r>
          </w:p>
        </w:tc>
        <w:tc>
          <w:tcPr>
            <w:tcW w:w="1243"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黄红燕，浦月霞，兰艳妮，黄扬玉，汤庆坤，谭福洋，李枫烨，吴静颜，罗群，黄文功，安春梅，闭立辉，毛洪斌，韦博尤，苏红梅，黄玲莉，蒙艺英，刘艳伟，赖艳梅，叶建蔚，莫柳静，陶积阳，黄凌，冉艳萍，黄璟岚，黄康东，覃龙伟，石海潜</w:t>
            </w:r>
          </w:p>
        </w:tc>
        <w:tc>
          <w:tcPr>
            <w:tcW w:w="857" w:type="dxa"/>
            <w:tcMar>
              <w:left w:w="57" w:type="dxa"/>
              <w:right w:w="57" w:type="dxa"/>
            </w:tcMar>
            <w:vAlign w:val="center"/>
          </w:tcPr>
          <w:p>
            <w:pPr>
              <w:spacing w:line="260" w:lineRule="exact"/>
              <w:jc w:val="center"/>
              <w:rPr>
                <w:rFonts w:ascii="仿宋" w:hAnsi="仿宋" w:eastAsia="仿宋" w:cs="仿宋"/>
                <w:bCs/>
                <w:sz w:val="18"/>
                <w:szCs w:val="18"/>
                <w:highlight w:val="yellow"/>
              </w:rPr>
            </w:pPr>
            <w:r>
              <w:rPr>
                <w:rFonts w:hint="eastAsia" w:ascii="仿宋" w:hAnsi="仿宋" w:eastAsia="仿宋" w:cs="仿宋"/>
                <w:bCs/>
                <w:sz w:val="18"/>
                <w:szCs w:val="18"/>
              </w:rPr>
              <w:t>有效</w:t>
            </w:r>
          </w:p>
        </w:tc>
        <w:tc>
          <w:tcPr>
            <w:tcW w:w="1005" w:type="dxa"/>
            <w:tcMar>
              <w:left w:w="57" w:type="dxa"/>
              <w:right w:w="57" w:type="dxa"/>
            </w:tcMar>
            <w:vAlign w:val="center"/>
          </w:tcPr>
          <w:p>
            <w:pPr>
              <w:spacing w:line="260" w:lineRule="exact"/>
              <w:jc w:val="center"/>
              <w:rPr>
                <w:rFonts w:ascii="仿宋" w:hAnsi="仿宋" w:eastAsia="仿宋" w:cs="仿宋"/>
                <w:bCs/>
                <w:sz w:val="18"/>
                <w:szCs w:val="18"/>
              </w:rPr>
            </w:pPr>
            <w:r>
              <w:rPr>
                <w:rFonts w:hint="eastAsia" w:ascii="仿宋" w:hAnsi="仿宋" w:eastAsia="仿宋" w:cs="仿宋"/>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085"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80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79"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96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96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124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57" w:type="dxa"/>
            <w:tcMar>
              <w:left w:w="57" w:type="dxa"/>
              <w:right w:w="57" w:type="dxa"/>
            </w:tcMar>
            <w:vAlign w:val="center"/>
          </w:tcPr>
          <w:p>
            <w:pPr>
              <w:spacing w:line="260" w:lineRule="exact"/>
              <w:jc w:val="center"/>
              <w:rPr>
                <w:rFonts w:ascii="黑体" w:hAnsi="黑体" w:eastAsia="黑体" w:cs="黑体"/>
                <w:bCs/>
                <w:sz w:val="18"/>
                <w:szCs w:val="18"/>
              </w:rPr>
            </w:pPr>
          </w:p>
        </w:tc>
        <w:tc>
          <w:tcPr>
            <w:tcW w:w="10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Mechanism of carbendazim in treating pebrine disease of Bombyx mori based on GC</w:t>
            </w:r>
            <w:r>
              <w:rPr>
                <w:rFonts w:hint="eastAsia"/>
                <w:sz w:val="18"/>
                <w:szCs w:val="18"/>
              </w:rPr>
              <w:t>/</w:t>
            </w:r>
            <w:r>
              <w:rPr>
                <w:sz w:val="18"/>
                <w:szCs w:val="18"/>
              </w:rPr>
              <w:t>MS</w:t>
            </w:r>
            <w:r>
              <w:rPr>
                <w:rFonts w:hint="eastAsia"/>
                <w:sz w:val="18"/>
                <w:szCs w:val="18"/>
              </w:rPr>
              <w:t>‑</w:t>
            </w:r>
            <w:r>
              <w:rPr>
                <w:sz w:val="18"/>
                <w:szCs w:val="18"/>
              </w:rPr>
              <w:t>based metabonomics</w:t>
            </w:r>
          </w:p>
        </w:tc>
        <w:tc>
          <w:tcPr>
            <w:tcW w:w="1085" w:type="dxa"/>
            <w:gridSpan w:val="2"/>
            <w:tcMar>
              <w:left w:w="57" w:type="dxa"/>
              <w:right w:w="57" w:type="dxa"/>
            </w:tcMar>
            <w:vAlign w:val="center"/>
          </w:tcPr>
          <w:p>
            <w:pPr>
              <w:spacing w:line="260" w:lineRule="exact"/>
              <w:jc w:val="center"/>
              <w:rPr>
                <w:sz w:val="18"/>
                <w:szCs w:val="18"/>
              </w:rPr>
            </w:pPr>
            <w:r>
              <w:rPr>
                <w:sz w:val="18"/>
                <w:szCs w:val="18"/>
              </w:rPr>
              <w:t>Parasitology Research</w:t>
            </w:r>
          </w:p>
        </w:tc>
        <w:tc>
          <w:tcPr>
            <w:tcW w:w="803" w:type="dxa"/>
            <w:tcMar>
              <w:left w:w="57" w:type="dxa"/>
              <w:right w:w="57" w:type="dxa"/>
            </w:tcMar>
            <w:vAlign w:val="center"/>
          </w:tcPr>
          <w:p>
            <w:pPr>
              <w:spacing w:line="260" w:lineRule="exact"/>
              <w:jc w:val="center"/>
              <w:rPr>
                <w:rFonts w:ascii="仿宋" w:hAnsi="仿宋" w:eastAsia="仿宋" w:cs="仿宋"/>
                <w:snapToGrid w:val="0"/>
                <w:sz w:val="18"/>
                <w:szCs w:val="18"/>
              </w:rPr>
            </w:pPr>
            <w:r>
              <w:rPr>
                <w:snapToGrid w:val="0"/>
                <w:sz w:val="18"/>
                <w:szCs w:val="18"/>
              </w:rPr>
              <w:t>Dongxu Xing, Sentai Liao,Wenjie Huang , Qingrong Li,Yang Xiao, Shijuan Yan, Chaoyi Zhao, QiongYang</w:t>
            </w:r>
            <w:r>
              <w:rPr>
                <w:rFonts w:hint="eastAsia" w:ascii="仿宋" w:hAnsi="仿宋" w:eastAsia="仿宋" w:cs="仿宋"/>
                <w:snapToGrid w:val="0"/>
                <w:sz w:val="18"/>
                <w:szCs w:val="18"/>
              </w:rPr>
              <w:t>（邢东旭，</w:t>
            </w:r>
          </w:p>
          <w:p>
            <w:pPr>
              <w:spacing w:line="260" w:lineRule="exact"/>
              <w:jc w:val="center"/>
              <w:rPr>
                <w:rFonts w:ascii="仿宋_GB2312" w:hAnsi="仿宋_GB2312" w:eastAsia="仿宋_GB2312" w:cs="仿宋_GB2312"/>
                <w:sz w:val="18"/>
                <w:szCs w:val="18"/>
              </w:rPr>
            </w:pPr>
            <w:r>
              <w:rPr>
                <w:rFonts w:hint="eastAsia" w:ascii="仿宋" w:hAnsi="仿宋" w:eastAsia="仿宋" w:cs="仿宋"/>
                <w:snapToGrid w:val="0"/>
                <w:sz w:val="18"/>
                <w:szCs w:val="18"/>
              </w:rPr>
              <w:t>廖森泰，黄文洁，李庆荣，肖阳，晏石娟，赵超艺， 杨琼）</w:t>
            </w:r>
          </w:p>
        </w:tc>
        <w:tc>
          <w:tcPr>
            <w:tcW w:w="975" w:type="dxa"/>
            <w:tcMar>
              <w:left w:w="57" w:type="dxa"/>
              <w:right w:w="57" w:type="dxa"/>
            </w:tcMar>
            <w:vAlign w:val="center"/>
          </w:tcPr>
          <w:p>
            <w:pPr>
              <w:spacing w:line="260" w:lineRule="exact"/>
              <w:jc w:val="center"/>
              <w:rPr>
                <w:rFonts w:ascii="仿宋_GB2312" w:hAnsi="仿宋_GB2312" w:eastAsia="仿宋_GB2312" w:cs="仿宋_GB2312"/>
                <w:sz w:val="18"/>
                <w:szCs w:val="18"/>
              </w:rPr>
            </w:pPr>
            <w:r>
              <w:rPr>
                <w:rFonts w:hint="eastAsia"/>
                <w:snapToGrid w:val="0"/>
                <w:sz w:val="18"/>
                <w:szCs w:val="18"/>
              </w:rPr>
              <w:t>2022 Jan，121(1):453-460</w:t>
            </w:r>
          </w:p>
        </w:tc>
        <w:tc>
          <w:tcPr>
            <w:tcW w:w="879" w:type="dxa"/>
            <w:tcMar>
              <w:left w:w="57" w:type="dxa"/>
              <w:right w:w="57" w:type="dxa"/>
            </w:tcMar>
            <w:vAlign w:val="center"/>
          </w:tcPr>
          <w:p>
            <w:pPr>
              <w:spacing w:line="260" w:lineRule="exact"/>
              <w:jc w:val="center"/>
              <w:rPr>
                <w:rFonts w:ascii="仿宋_GB2312" w:hAnsi="仿宋_GB2312" w:eastAsia="仿宋_GB2312" w:cs="仿宋_GB2312"/>
                <w:sz w:val="18"/>
                <w:szCs w:val="18"/>
              </w:rPr>
            </w:pPr>
            <w:r>
              <w:rPr>
                <w:rFonts w:hint="eastAsia"/>
                <w:snapToGrid w:val="0"/>
                <w:sz w:val="18"/>
                <w:szCs w:val="18"/>
              </w:rPr>
              <w:t>2022.01.06</w:t>
            </w:r>
          </w:p>
        </w:tc>
        <w:tc>
          <w:tcPr>
            <w:tcW w:w="964" w:type="dxa"/>
            <w:tcMar>
              <w:left w:w="57" w:type="dxa"/>
              <w:right w:w="57" w:type="dxa"/>
            </w:tcMar>
            <w:vAlign w:val="center"/>
          </w:tcPr>
          <w:p>
            <w:pPr>
              <w:spacing w:line="260" w:lineRule="exact"/>
              <w:rPr>
                <w:rFonts w:ascii="仿宋_GB2312" w:hAnsi="仿宋_GB2312" w:eastAsia="仿宋_GB2312" w:cs="仿宋_GB2312"/>
                <w:sz w:val="18"/>
                <w:szCs w:val="18"/>
              </w:rPr>
            </w:pPr>
            <w:r>
              <w:rPr>
                <w:rFonts w:ascii="仿宋" w:hAnsi="仿宋" w:eastAsia="仿宋" w:cs="仿宋"/>
                <w:snapToGrid w:val="0"/>
                <w:sz w:val="18"/>
                <w:szCs w:val="18"/>
              </w:rPr>
              <w:t>QiongYang</w:t>
            </w:r>
            <w:r>
              <w:rPr>
                <w:rFonts w:hint="eastAsia"/>
                <w:snapToGrid w:val="0"/>
                <w:sz w:val="18"/>
                <w:szCs w:val="18"/>
              </w:rPr>
              <w:t xml:space="preserve"> </w:t>
            </w:r>
            <w:r>
              <w:rPr>
                <w:rFonts w:hint="eastAsia" w:ascii="仿宋" w:hAnsi="仿宋" w:eastAsia="仿宋" w:cs="仿宋"/>
                <w:snapToGrid w:val="0"/>
                <w:sz w:val="18"/>
                <w:szCs w:val="18"/>
              </w:rPr>
              <w:t>（杨琼）</w:t>
            </w:r>
          </w:p>
        </w:tc>
        <w:tc>
          <w:tcPr>
            <w:tcW w:w="964" w:type="dxa"/>
            <w:tcMar>
              <w:left w:w="57" w:type="dxa"/>
              <w:right w:w="57" w:type="dxa"/>
            </w:tcMar>
            <w:vAlign w:val="center"/>
          </w:tcPr>
          <w:p>
            <w:pPr>
              <w:spacing w:line="260" w:lineRule="exact"/>
              <w:jc w:val="center"/>
              <w:rPr>
                <w:rFonts w:ascii="仿宋_GB2312" w:hAnsi="仿宋_GB2312" w:eastAsia="仿宋_GB2312" w:cs="仿宋_GB2312"/>
                <w:sz w:val="18"/>
                <w:szCs w:val="18"/>
              </w:rPr>
            </w:pPr>
            <w:r>
              <w:rPr>
                <w:snapToGrid w:val="0"/>
                <w:sz w:val="18"/>
                <w:szCs w:val="18"/>
              </w:rPr>
              <w:t>Dongxu Xing</w:t>
            </w:r>
            <w:r>
              <w:rPr>
                <w:rFonts w:hint="eastAsia"/>
                <w:snapToGrid w:val="0"/>
                <w:sz w:val="18"/>
                <w:szCs w:val="18"/>
              </w:rPr>
              <w:t xml:space="preserve"> </w:t>
            </w:r>
            <w:r>
              <w:rPr>
                <w:rFonts w:hint="eastAsia" w:ascii="仿宋" w:hAnsi="仿宋" w:eastAsia="仿宋" w:cs="仿宋"/>
                <w:snapToGrid w:val="0"/>
                <w:sz w:val="18"/>
                <w:szCs w:val="18"/>
              </w:rPr>
              <w:t>（邢东旭）</w:t>
            </w:r>
          </w:p>
        </w:tc>
        <w:tc>
          <w:tcPr>
            <w:tcW w:w="1243" w:type="dxa"/>
            <w:tcMar>
              <w:left w:w="57" w:type="dxa"/>
              <w:right w:w="57" w:type="dxa"/>
            </w:tcMar>
            <w:vAlign w:val="center"/>
          </w:tcPr>
          <w:p>
            <w:pPr>
              <w:spacing w:line="260" w:lineRule="exact"/>
              <w:jc w:val="center"/>
              <w:rPr>
                <w:snapToGrid w:val="0"/>
                <w:sz w:val="18"/>
                <w:szCs w:val="18"/>
              </w:rPr>
            </w:pPr>
            <w:r>
              <w:rPr>
                <w:snapToGrid w:val="0"/>
                <w:sz w:val="18"/>
                <w:szCs w:val="18"/>
              </w:rPr>
              <w:t xml:space="preserve">Sericulture and Agri-Food Research Institute, </w:t>
            </w:r>
          </w:p>
          <w:p>
            <w:pPr>
              <w:spacing w:line="260" w:lineRule="exact"/>
              <w:jc w:val="center"/>
              <w:rPr>
                <w:snapToGrid w:val="0"/>
                <w:sz w:val="18"/>
                <w:szCs w:val="18"/>
              </w:rPr>
            </w:pPr>
            <w:r>
              <w:rPr>
                <w:snapToGrid w:val="0"/>
                <w:sz w:val="18"/>
                <w:szCs w:val="18"/>
              </w:rPr>
              <w:t xml:space="preserve">Guangdong Academy of Agricultural Sciences, </w:t>
            </w:r>
          </w:p>
          <w:p>
            <w:pPr>
              <w:spacing w:line="260" w:lineRule="exact"/>
              <w:jc w:val="center"/>
              <w:rPr>
                <w:snapToGrid w:val="0"/>
                <w:sz w:val="18"/>
                <w:szCs w:val="18"/>
              </w:rPr>
            </w:pPr>
            <w:r>
              <w:rPr>
                <w:snapToGrid w:val="0"/>
                <w:sz w:val="18"/>
                <w:szCs w:val="18"/>
              </w:rPr>
              <w:t xml:space="preserve">Agro-Biological Gene Research Center, Guangdong </w:t>
            </w:r>
          </w:p>
          <w:p>
            <w:pPr>
              <w:spacing w:line="260" w:lineRule="exact"/>
              <w:jc w:val="center"/>
              <w:rPr>
                <w:rFonts w:ascii="仿宋_GB2312" w:hAnsi="仿宋_GB2312" w:eastAsia="仿宋_GB2312" w:cs="仿宋_GB2312"/>
                <w:sz w:val="18"/>
                <w:szCs w:val="18"/>
              </w:rPr>
            </w:pPr>
            <w:r>
              <w:rPr>
                <w:snapToGrid w:val="0"/>
                <w:sz w:val="18"/>
                <w:szCs w:val="18"/>
              </w:rPr>
              <w:t xml:space="preserve">Academy of Agricultural Sciences </w:t>
            </w:r>
          </w:p>
        </w:tc>
        <w:tc>
          <w:tcPr>
            <w:tcW w:w="857" w:type="dxa"/>
            <w:tcMar>
              <w:left w:w="57" w:type="dxa"/>
              <w:right w:w="57" w:type="dxa"/>
            </w:tcMar>
            <w:vAlign w:val="center"/>
          </w:tcPr>
          <w:p>
            <w:pPr>
              <w:spacing w:line="260" w:lineRule="exact"/>
              <w:jc w:val="center"/>
              <w:rPr>
                <w:rFonts w:ascii="仿宋_GB2312" w:hAnsi="仿宋_GB2312" w:eastAsia="仿宋_GB2312" w:cs="仿宋_GB2312"/>
                <w:bCs/>
                <w:sz w:val="18"/>
                <w:szCs w:val="18"/>
              </w:rPr>
            </w:pPr>
          </w:p>
        </w:tc>
        <w:tc>
          <w:tcPr>
            <w:tcW w:w="1005" w:type="dxa"/>
            <w:tcMar>
              <w:left w:w="57" w:type="dxa"/>
              <w:right w:w="57" w:type="dxa"/>
            </w:tcMar>
            <w:vAlign w:val="center"/>
          </w:tcPr>
          <w:p>
            <w:pPr>
              <w:spacing w:line="26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两广二号改良复壮研究与新品系应用</w:t>
            </w:r>
          </w:p>
        </w:tc>
        <w:tc>
          <w:tcPr>
            <w:tcW w:w="1085" w:type="dxa"/>
            <w:gridSpan w:val="2"/>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z w:val="18"/>
                <w:szCs w:val="18"/>
              </w:rPr>
              <w:t>广西蚕业</w:t>
            </w:r>
          </w:p>
        </w:tc>
        <w:tc>
          <w:tcPr>
            <w:tcW w:w="803"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浦月霞，吴静颜，兰艳妮，李枫烨，谭福洋，黄扬玉，闭立辉</w:t>
            </w:r>
          </w:p>
        </w:tc>
        <w:tc>
          <w:tcPr>
            <w:tcW w:w="975"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2021,58(2):13-18</w:t>
            </w:r>
          </w:p>
        </w:tc>
        <w:tc>
          <w:tcPr>
            <w:tcW w:w="879"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2021.06.30</w:t>
            </w:r>
          </w:p>
        </w:tc>
        <w:tc>
          <w:tcPr>
            <w:tcW w:w="964"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闭立辉</w:t>
            </w:r>
          </w:p>
        </w:tc>
        <w:tc>
          <w:tcPr>
            <w:tcW w:w="964"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浦月霞</w:t>
            </w:r>
          </w:p>
        </w:tc>
        <w:tc>
          <w:tcPr>
            <w:tcW w:w="1243" w:type="dxa"/>
            <w:tcMar>
              <w:left w:w="57" w:type="dxa"/>
              <w:right w:w="57" w:type="dxa"/>
            </w:tcMar>
            <w:vAlign w:val="center"/>
          </w:tcPr>
          <w:p>
            <w:pPr>
              <w:spacing w:line="260" w:lineRule="exact"/>
              <w:jc w:val="left"/>
              <w:rPr>
                <w:rFonts w:ascii="仿宋" w:hAnsi="仿宋" w:eastAsia="仿宋" w:cs="仿宋"/>
                <w:sz w:val="18"/>
                <w:szCs w:val="18"/>
              </w:rPr>
            </w:pPr>
            <w:r>
              <w:rPr>
                <w:rFonts w:hint="eastAsia" w:ascii="仿宋" w:hAnsi="仿宋" w:eastAsia="仿宋" w:cs="仿宋"/>
                <w:bCs/>
                <w:sz w:val="18"/>
                <w:szCs w:val="18"/>
              </w:rPr>
              <w:t>广西壮族自治区蚕业技术推广站</w:t>
            </w: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p>
        </w:tc>
        <w:tc>
          <w:tcPr>
            <w:tcW w:w="1005"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广西家蚕主推品种高效繁育技术的集成与应用</w:t>
            </w:r>
          </w:p>
        </w:tc>
        <w:tc>
          <w:tcPr>
            <w:tcW w:w="1085" w:type="dxa"/>
            <w:gridSpan w:val="2"/>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z w:val="18"/>
                <w:szCs w:val="18"/>
              </w:rPr>
              <w:t>广西蚕业</w:t>
            </w:r>
          </w:p>
        </w:tc>
        <w:tc>
          <w:tcPr>
            <w:tcW w:w="803"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浦月霞，覃龙伟，韦廷秀，李枫烨，黄康东，邓玉娟，潘志新</w:t>
            </w:r>
          </w:p>
        </w:tc>
        <w:tc>
          <w:tcPr>
            <w:tcW w:w="975" w:type="dxa"/>
            <w:tcMar>
              <w:left w:w="57" w:type="dxa"/>
              <w:right w:w="57" w:type="dxa"/>
            </w:tcMar>
            <w:vAlign w:val="center"/>
          </w:tcPr>
          <w:p>
            <w:pPr>
              <w:adjustRightInd w:val="0"/>
              <w:snapToGrid w:val="0"/>
              <w:spacing w:line="320" w:lineRule="exact"/>
              <w:rPr>
                <w:rFonts w:ascii="仿宋" w:hAnsi="仿宋" w:eastAsia="仿宋" w:cs="仿宋"/>
                <w:snapToGrid w:val="0"/>
                <w:sz w:val="18"/>
                <w:szCs w:val="18"/>
              </w:rPr>
            </w:pPr>
            <w:r>
              <w:rPr>
                <w:rFonts w:hint="eastAsia" w:ascii="仿宋" w:hAnsi="仿宋" w:eastAsia="仿宋" w:cs="仿宋"/>
                <w:snapToGrid w:val="0"/>
                <w:sz w:val="18"/>
                <w:szCs w:val="18"/>
              </w:rPr>
              <w:t>2020,57(3):41-46.</w:t>
            </w:r>
          </w:p>
        </w:tc>
        <w:tc>
          <w:tcPr>
            <w:tcW w:w="879" w:type="dxa"/>
            <w:tcMar>
              <w:left w:w="57" w:type="dxa"/>
              <w:right w:w="57" w:type="dxa"/>
            </w:tcMar>
            <w:vAlign w:val="center"/>
          </w:tcPr>
          <w:p>
            <w:pPr>
              <w:adjustRightInd w:val="0"/>
              <w:snapToGrid w:val="0"/>
              <w:spacing w:line="320" w:lineRule="exact"/>
              <w:rPr>
                <w:rFonts w:ascii="仿宋" w:hAnsi="仿宋" w:eastAsia="仿宋" w:cs="仿宋"/>
                <w:snapToGrid w:val="0"/>
                <w:sz w:val="18"/>
                <w:szCs w:val="18"/>
              </w:rPr>
            </w:pPr>
            <w:r>
              <w:rPr>
                <w:rFonts w:hint="eastAsia" w:ascii="仿宋" w:hAnsi="仿宋" w:eastAsia="仿宋" w:cs="仿宋"/>
                <w:snapToGrid w:val="0"/>
                <w:sz w:val="18"/>
                <w:szCs w:val="18"/>
              </w:rPr>
              <w:t>2020.09.30</w:t>
            </w:r>
          </w:p>
        </w:tc>
        <w:tc>
          <w:tcPr>
            <w:tcW w:w="964"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潘志新</w:t>
            </w:r>
          </w:p>
        </w:tc>
        <w:tc>
          <w:tcPr>
            <w:tcW w:w="964"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napToGrid w:val="0"/>
                <w:sz w:val="18"/>
                <w:szCs w:val="18"/>
              </w:rPr>
              <w:t>浦月霞</w:t>
            </w:r>
          </w:p>
        </w:tc>
        <w:tc>
          <w:tcPr>
            <w:tcW w:w="1243" w:type="dxa"/>
            <w:tcMar>
              <w:left w:w="57" w:type="dxa"/>
              <w:right w:w="57" w:type="dxa"/>
            </w:tcMar>
            <w:vAlign w:val="center"/>
          </w:tcPr>
          <w:p>
            <w:pPr>
              <w:spacing w:line="260" w:lineRule="exact"/>
              <w:jc w:val="left"/>
              <w:rPr>
                <w:rFonts w:ascii="仿宋" w:hAnsi="仿宋" w:eastAsia="仿宋" w:cs="仿宋"/>
                <w:sz w:val="18"/>
                <w:szCs w:val="18"/>
              </w:rPr>
            </w:pPr>
            <w:r>
              <w:rPr>
                <w:rFonts w:hint="eastAsia" w:ascii="仿宋" w:hAnsi="仿宋" w:eastAsia="仿宋" w:cs="仿宋"/>
                <w:snapToGrid w:val="0"/>
                <w:sz w:val="18"/>
                <w:szCs w:val="18"/>
              </w:rPr>
              <w:t>广西壮族自治区蚕业技术推广站，河池市蚕种场</w:t>
            </w:r>
          </w:p>
        </w:tc>
        <w:tc>
          <w:tcPr>
            <w:tcW w:w="857" w:type="dxa"/>
            <w:tcMar>
              <w:left w:w="57" w:type="dxa"/>
              <w:right w:w="57" w:type="dxa"/>
            </w:tcMar>
            <w:vAlign w:val="center"/>
          </w:tcPr>
          <w:p>
            <w:pPr>
              <w:spacing w:line="260" w:lineRule="exact"/>
              <w:jc w:val="center"/>
              <w:rPr>
                <w:rFonts w:ascii="仿宋" w:hAnsi="仿宋" w:eastAsia="仿宋" w:cs="仿宋"/>
                <w:bCs/>
                <w:sz w:val="18"/>
                <w:szCs w:val="18"/>
              </w:rPr>
            </w:pPr>
          </w:p>
        </w:tc>
        <w:tc>
          <w:tcPr>
            <w:tcW w:w="1005" w:type="dxa"/>
            <w:tcMar>
              <w:left w:w="57" w:type="dxa"/>
              <w:right w:w="57" w:type="dxa"/>
            </w:tcMar>
            <w:vAlign w:val="center"/>
          </w:tcPr>
          <w:p>
            <w:pPr>
              <w:spacing w:line="260" w:lineRule="exact"/>
              <w:jc w:val="center"/>
              <w:rPr>
                <w:rFonts w:ascii="仿宋" w:hAnsi="仿宋" w:eastAsia="仿宋" w:cs="仿宋"/>
                <w:sz w:val="18"/>
                <w:szCs w:val="18"/>
              </w:rPr>
            </w:pPr>
            <w:r>
              <w:rPr>
                <w:rFonts w:hint="eastAsia" w:ascii="仿宋" w:hAnsi="仿宋" w:eastAsia="仿宋" w:cs="仿宋"/>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广西家蚕原种微粒子病防控体系与效果分析</w:t>
            </w:r>
          </w:p>
        </w:tc>
        <w:tc>
          <w:tcPr>
            <w:tcW w:w="1085" w:type="dxa"/>
            <w:gridSpan w:val="2"/>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广西蚕业</w:t>
            </w:r>
          </w:p>
        </w:tc>
        <w:tc>
          <w:tcPr>
            <w:tcW w:w="803"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浦月霞，李枫烨，汤庆坤，兰艳妮，黄扬玉，冉艳萍，吴静颜，叶建蔚，潘志新</w:t>
            </w:r>
          </w:p>
        </w:tc>
        <w:tc>
          <w:tcPr>
            <w:tcW w:w="975"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2020,57(3):41-46.</w:t>
            </w:r>
          </w:p>
        </w:tc>
        <w:tc>
          <w:tcPr>
            <w:tcW w:w="879"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2020.09.30</w:t>
            </w:r>
          </w:p>
        </w:tc>
        <w:tc>
          <w:tcPr>
            <w:tcW w:w="964"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潘志新</w:t>
            </w:r>
          </w:p>
        </w:tc>
        <w:tc>
          <w:tcPr>
            <w:tcW w:w="964"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浦月霞</w:t>
            </w:r>
          </w:p>
        </w:tc>
        <w:tc>
          <w:tcPr>
            <w:tcW w:w="1243"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广西壮族自治区蚕业技术推广站</w:t>
            </w:r>
          </w:p>
        </w:tc>
        <w:tc>
          <w:tcPr>
            <w:tcW w:w="857" w:type="dxa"/>
            <w:tcMar>
              <w:left w:w="57" w:type="dxa"/>
              <w:right w:w="57" w:type="dxa"/>
            </w:tcMar>
            <w:vAlign w:val="center"/>
          </w:tcPr>
          <w:p>
            <w:pPr>
              <w:spacing w:line="260" w:lineRule="exact"/>
              <w:jc w:val="center"/>
              <w:rPr>
                <w:rFonts w:ascii="仿宋" w:hAnsi="仿宋" w:eastAsia="仿宋" w:cs="仿宋"/>
                <w:snapToGrid w:val="0"/>
                <w:sz w:val="18"/>
                <w:szCs w:val="18"/>
              </w:rPr>
            </w:pPr>
          </w:p>
        </w:tc>
        <w:tc>
          <w:tcPr>
            <w:tcW w:w="1005" w:type="dxa"/>
            <w:tcMar>
              <w:left w:w="57" w:type="dxa"/>
              <w:right w:w="57" w:type="dxa"/>
            </w:tcMar>
            <w:vAlign w:val="center"/>
          </w:tcPr>
          <w:p>
            <w:pPr>
              <w:spacing w:line="260" w:lineRule="exact"/>
              <w:jc w:val="center"/>
              <w:rPr>
                <w:rFonts w:ascii="仿宋" w:hAnsi="仿宋" w:eastAsia="仿宋" w:cs="仿宋"/>
                <w:snapToGrid w:val="0"/>
                <w:sz w:val="18"/>
                <w:szCs w:val="18"/>
              </w:rPr>
            </w:pPr>
            <w:r>
              <w:rPr>
                <w:rFonts w:hint="eastAsia" w:ascii="仿宋" w:hAnsi="仿宋" w:eastAsia="仿宋" w:cs="仿宋"/>
                <w:snapToGrid w:val="0"/>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pPr>
              <w:spacing w:line="2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技术奖励办法实施细则》相关规定，提名该个人，组织为科学技术奖</w:t>
            </w:r>
            <w:r>
              <w:rPr>
                <w:rFonts w:hint="eastAsia" w:ascii="仿宋_GB2312" w:hAnsi="仿宋_GB2312" w:eastAsia="仿宋_GB2312" w:cs="仿宋_GB2312"/>
                <w:bCs/>
                <w:spacing w:val="2"/>
                <w:szCs w:val="21"/>
                <w:u w:val="single"/>
              </w:rPr>
              <w:t xml:space="preserve"> 一 </w:t>
            </w:r>
            <w:r>
              <w:rPr>
                <w:rFonts w:hint="eastAsia" w:ascii="仿宋_GB2312" w:hAnsi="仿宋_GB2312" w:eastAsia="仿宋_GB2312" w:cs="仿宋_GB2312"/>
                <w:bCs/>
                <w:spacing w:val="2"/>
                <w:szCs w:val="21"/>
              </w:rPr>
              <w:t>等 ，</w:t>
            </w:r>
            <w:r>
              <w:rPr>
                <w:rFonts w:hint="eastAsia" w:ascii="仿宋_GB2312" w:hAnsi="仿宋_GB2312" w:eastAsia="仿宋_GB2312" w:cs="仿宋_GB2312"/>
                <w:bCs/>
                <w:spacing w:val="2"/>
                <w:szCs w:val="21"/>
                <w:u w:val="single"/>
              </w:rPr>
              <w:t xml:space="preserve"> 二 </w:t>
            </w:r>
            <w:r>
              <w:rPr>
                <w:rFonts w:hint="eastAsia" w:ascii="仿宋_GB2312" w:hAnsi="仿宋_GB2312" w:eastAsia="仿宋_GB2312" w:cs="仿宋_GB2312"/>
                <w:bCs/>
                <w:spacing w:val="2"/>
                <w:szCs w:val="21"/>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80" w:type="dxa"/>
            <w:gridSpan w:val="11"/>
            <w:tcMar>
              <w:left w:w="57" w:type="dxa"/>
              <w:right w:w="57" w:type="dxa"/>
            </w:tcMar>
          </w:tcPr>
          <w:p>
            <w:pPr>
              <w:spacing w:line="24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第一候选组织简介（不超过100字）：</w:t>
            </w:r>
          </w:p>
          <w:p>
            <w:pPr>
              <w:spacing w:line="24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广西壮族自治区蚕业技术推广站是具蚕业科研、良繁、推广、检验职能的事业单位。创新亚热带家蚕品种改良复壮技术，构建“阻断+抑制+净化”家蚕微粒子病防控及良种高质高效繁育技术体系，为项目技术创新作出了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9980" w:type="dxa"/>
            <w:gridSpan w:val="11"/>
            <w:tcMar>
              <w:left w:w="57" w:type="dxa"/>
              <w:right w:w="57" w:type="dxa"/>
            </w:tcMar>
          </w:tcPr>
          <w:p>
            <w:pPr>
              <w:spacing w:line="24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成果简介（不超过200字）：</w:t>
            </w:r>
          </w:p>
          <w:p>
            <w:pPr>
              <w:spacing w:line="24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 xml:space="preserve">2012年起，项目组开展亚热带蚕种安全高效繁育关键技术攻关。创新亚热带家蚕品种改良复壮和种性保持技术；率先构建“阻断+抑制+净化”的亚热带蚕种安全繁育保障技术体系；创新集成亚热带蚕种高效繁育技术体系，工效提高18.09%，原种合格率提高14.09%，蚕种繁育系数提高3.99%。 主要成果被农业农村部列为2023、2024年农业主推技术，家蚕品种“两广二号”推广32年依然保持种性纯正，推广量占90%，确保全区桑蚕良种安全供应，经济效益、社会效益显著提升。 </w:t>
            </w:r>
          </w:p>
        </w:tc>
      </w:tr>
    </w:tbl>
    <w:p>
      <w:pPr>
        <w:adjustRightInd w:val="0"/>
        <w:snapToGrid w:val="0"/>
        <w:spacing w:line="406" w:lineRule="exact"/>
        <w:jc w:val="both"/>
        <w:outlineLvl w:val="1"/>
        <w:rPr>
          <w:rStyle w:val="13"/>
          <w:rFonts w:hint="default" w:ascii="Times New Roman" w:eastAsia="方正黑体_GBK"/>
          <w:b w:val="0"/>
          <w:bCs w:val="0"/>
          <w:snapToGrid w:val="0"/>
          <w:color w:val="000000"/>
          <w:kern w:val="2"/>
          <w:sz w:val="28"/>
          <w:szCs w:val="28"/>
        </w:rPr>
      </w:pPr>
      <w:bookmarkStart w:id="0" w:name="_GoBack"/>
      <w:bookmarkEnd w:id="0"/>
    </w:p>
    <w:p>
      <w:pPr>
        <w:adjustRightInd w:val="0"/>
        <w:snapToGrid w:val="0"/>
        <w:spacing w:line="406" w:lineRule="exact"/>
        <w:jc w:val="center"/>
        <w:outlineLvl w:val="1"/>
        <w:rPr>
          <w:rStyle w:val="13"/>
          <w:rFonts w:hint="default" w:ascii="Times New Roman" w:eastAsia="方正黑体_GBK"/>
          <w:b w:val="0"/>
          <w:bCs w:val="0"/>
          <w:snapToGrid w:val="0"/>
          <w:color w:val="000000"/>
          <w:kern w:val="2"/>
          <w:sz w:val="28"/>
          <w:szCs w:val="28"/>
        </w:rPr>
      </w:pPr>
      <w:r>
        <w:rPr>
          <w:rStyle w:val="13"/>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pStyle w:val="10"/>
            </w:pP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本报奖提名项目由广西壮族自治区蚕业技术推广站、广东省农业科学院蚕业与农产品加工研究所、河池市蚕种场（河池市蚕业技术推广站）、兴业县华盛蚕业科技有限责任公司、山东广通蚕种有限公司、广东广新种业有限公司六个单位合作共同实施。候选个人自2012年起开始了项目的共同合作攻关，组织实施了1个广西科技计划项目、1个国家自然科学基金和1个广东科技计划项目，候选个人主持或参与了相关项目立项、研究示范、技术推广、论文合著、专利申报、标准发布等合作。</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2018年广西科技厅下达的广西重点研发项目《亚热带强健性家蚕品种改良复壮及配套技术研究与应用》由第1完成单位广西壮族自治区蚕业技术推广站实施，第2候选人浦月霞主持，本报奖第一候选单位的黄红燕、蓝必忠，兰艳妮，贾雪峰，黄扬玉，谭福洋，冉艳萍参与以上项目的项目立项、试验研究、技术推广、论文合著、专利申报、标准发布等合作。2017年下达的国家自然科学基金《高温浸酸防治家蚕微粒子病胚种垂直传播的机理研究》、2015年广东科技计划项目 《广东蚕区家蚕微粒子病全程防控技术服务平台建设》由第2完成单位广东省农业科学院蚕业与农产品加工研究所实施，第3候选人邢东旭主持，杨琼参与研究，黄红燕、浦月霞、蓝必忠、贾雪峰、冉艳萍参与家蚕微粒子病全程防控技术的试验示范与技术推广。本报奖提名项目候选人均参与了亚热带桑蚕良种安全高效繁育关键技术创新与应用的研究，并取得了较好的成果。</w:t>
            </w: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rFonts w:eastAsia="方正黑体_GBK"/>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480"/>
        <w:gridCol w:w="1554"/>
        <w:gridCol w:w="1136"/>
        <w:gridCol w:w="2089"/>
        <w:gridCol w:w="1119"/>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snapToGrid w:val="0"/>
                <w:color w:val="000000"/>
                <w:szCs w:val="21"/>
              </w:rPr>
            </w:pPr>
            <w:r>
              <w:rPr>
                <w:rFonts w:hint="eastAsia" w:ascii="仿宋" w:hAnsi="仿宋" w:eastAsia="仿宋" w:cs="仿宋"/>
                <w:snapToGrid w:val="0"/>
                <w:color w:val="000000"/>
                <w:szCs w:val="21"/>
              </w:rPr>
              <w:t>1</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snapToGrid w:val="0"/>
                <w:color w:val="000000"/>
                <w:szCs w:val="21"/>
              </w:rPr>
            </w:pPr>
            <w:r>
              <w:rPr>
                <w:rFonts w:hint="eastAsia" w:ascii="仿宋" w:hAnsi="仿宋" w:eastAsia="仿宋" w:cs="仿宋"/>
                <w:bCs/>
                <w:szCs w:val="21"/>
              </w:rPr>
              <w:t>发明专利申报</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snapToGrid w:val="0"/>
                <w:color w:val="000000"/>
                <w:szCs w:val="21"/>
              </w:rPr>
            </w:pPr>
            <w:r>
              <w:rPr>
                <w:rFonts w:hint="eastAsia" w:ascii="仿宋" w:hAnsi="仿宋" w:eastAsia="仿宋" w:cs="仿宋"/>
                <w:color w:val="000000"/>
                <w:kern w:val="0"/>
                <w:szCs w:val="21"/>
                <w:lang w:bidi="ar"/>
              </w:rPr>
              <w:t>浦月霞，兰艳妮，谭福洋，黄扬玉，</w:t>
            </w:r>
            <w:r>
              <w:rPr>
                <w:rFonts w:hint="eastAsia" w:ascii="仿宋" w:hAnsi="仿宋" w:eastAsia="仿宋" w:cs="仿宋"/>
                <w:bCs/>
                <w:szCs w:val="21"/>
              </w:rPr>
              <w:t>冉艳萍</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snapToGrid w:val="0"/>
                <w:color w:val="000000"/>
                <w:szCs w:val="21"/>
              </w:rPr>
            </w:pPr>
            <w:r>
              <w:rPr>
                <w:rFonts w:hint="eastAsia" w:ascii="仿宋" w:hAnsi="仿宋" w:eastAsia="仿宋" w:cs="仿宋"/>
                <w:snapToGrid w:val="0"/>
                <w:color w:val="000000"/>
                <w:szCs w:val="21"/>
              </w:rPr>
              <w:t>2022年-2023年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snapToGrid w:val="0"/>
                <w:color w:val="000000"/>
                <w:szCs w:val="21"/>
              </w:rPr>
            </w:pPr>
            <w:r>
              <w:rPr>
                <w:rFonts w:hint="eastAsia" w:ascii="仿宋" w:hAnsi="仿宋" w:eastAsia="仿宋" w:cs="仿宋"/>
                <w:szCs w:val="21"/>
              </w:rPr>
              <w:t>喂食接毒5龄末期蚕或穿刺接毒获得BmNPV病蛹的方法</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snapToGrid w:val="0"/>
                <w:color w:val="000000"/>
                <w:szCs w:val="21"/>
              </w:rPr>
            </w:pPr>
            <w:r>
              <w:rPr>
                <w:rFonts w:hint="eastAsia" w:ascii="仿宋" w:hAnsi="仿宋" w:eastAsia="仿宋" w:cs="仿宋"/>
                <w:snapToGrid w:val="0"/>
                <w:color w:val="000000"/>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2</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发明专利申报</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邢东旭，杨琼</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2017年-2018年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针对四元杂交种家蚕微粒子病胚种垂直传播的防治方法</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第二完成单位研究人员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3</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发明专利申报</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杨琼，邢东旭</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2012年-2014年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一种蚕沙无害化静态好氧堆肥处理方法</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1-3</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第二完成单位研究人员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4</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软件著作权登记</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浦月霞，兰艳妮，冉艳萍</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2020年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亚热带家蚕品种母种自动筛选系统1.0.0</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5</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实用新型专利申报</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浦月霞，谭福洋，黄红燕，兰艳妮，黄扬玉，冉艳萍</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2023年-2024年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空气直吹多层桑叶晾干机</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1-6</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6</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论文合著</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邢东旭，杨琼</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2021年-2022年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left"/>
              <w:rPr>
                <w:rFonts w:ascii="仿宋" w:hAnsi="仿宋" w:eastAsia="仿宋" w:cs="仿宋"/>
                <w:bCs/>
                <w:szCs w:val="21"/>
              </w:rPr>
            </w:pPr>
            <w:r>
              <w:rPr>
                <w:rFonts w:hint="eastAsia"/>
                <w:snapToGrid w:val="0"/>
                <w:sz w:val="18"/>
                <w:szCs w:val="18"/>
              </w:rPr>
              <w:t>Mechanism of carbendazim in treating pebrine disease of Bombyx mori based on GC/MS-based metabonomics</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1-7</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第二完成单位研究人员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7</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论文合著</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浦月霞，兰艳妮，谭福洋，黄扬玉</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2020年-2021年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两广二号改良复壮研究与新品系应用</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1-8</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8</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论文合著</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浦月霞，兰艳妮，黄扬玉，冉艳萍</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2020年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广西家蚕原种微粒子病防控体系与效果分析</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1-10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9</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标准起草</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兰艳妮，浦月霞，黄红燕，黄扬玉，谭福洋，</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2023年-2024年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家蚕抗高温多湿品种选育保育技术规程</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1-11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10</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标准起草</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黄红燕，浦月霞，兰艳妮，黄扬玉，谭福洋，冉艳萍</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2023年-2024年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强健性家蚕品种原种繁育技术规程</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1-12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11</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共同立项</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黄红燕，浦月霞，贾雪峰，蓝必忠，冉艳萍，黄扬玉，谭福洋</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2015年-2022年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_GB2312" w:cs="仿宋"/>
                <w:bCs/>
                <w:szCs w:val="21"/>
              </w:rPr>
            </w:pPr>
            <w:r>
              <w:rPr>
                <w:rFonts w:hint="eastAsia" w:ascii="仿宋" w:hAnsi="仿宋" w:eastAsia="仿宋_GB2312" w:cs="仿宋"/>
                <w:bCs/>
                <w:szCs w:val="21"/>
              </w:rPr>
              <w:t>亚热带桑蚕原种高效繁育关键技术研究与应用</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5-1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12</w:t>
            </w:r>
          </w:p>
        </w:tc>
        <w:tc>
          <w:tcPr>
            <w:tcW w:w="14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试验示范</w:t>
            </w:r>
          </w:p>
        </w:tc>
        <w:tc>
          <w:tcPr>
            <w:tcW w:w="15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邢东旭，黄红燕，浦月霞，蓝必忠，杨琼，贾雪峰，冉艳萍</w:t>
            </w:r>
          </w:p>
        </w:tc>
        <w:tc>
          <w:tcPr>
            <w:tcW w:w="113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2015年-2018年</w:t>
            </w:r>
          </w:p>
        </w:tc>
        <w:tc>
          <w:tcPr>
            <w:tcW w:w="208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eastAsia="仿宋_GB2312"/>
                <w:szCs w:val="21"/>
              </w:rPr>
              <w:t>家蚕微粒子病全程防控技术示范</w:t>
            </w:r>
          </w:p>
        </w:tc>
        <w:tc>
          <w:tcPr>
            <w:tcW w:w="111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未列入附件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ascii="仿宋" w:hAnsi="仿宋" w:eastAsia="仿宋" w:cs="仿宋"/>
                <w:bCs/>
                <w:szCs w:val="21"/>
              </w:rPr>
            </w:pPr>
            <w:r>
              <w:rPr>
                <w:rFonts w:hint="eastAsia" w:ascii="仿宋" w:hAnsi="仿宋" w:eastAsia="仿宋" w:cs="仿宋"/>
                <w:bCs/>
                <w:szCs w:val="21"/>
              </w:rPr>
              <w:t>第一完成单位研究人员，第二完成单位研究人员</w:t>
            </w:r>
          </w:p>
        </w:tc>
      </w:tr>
    </w:tbl>
    <w:p>
      <w:pPr>
        <w:pStyle w:val="11"/>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hODczNDIwNmM0MDNlNjU0YjMxMTdkMWI5YWFiNTEifQ=="/>
  </w:docVars>
  <w:rsids>
    <w:rsidRoot w:val="0CC8630E"/>
    <w:rsid w:val="001D4E13"/>
    <w:rsid w:val="002162F1"/>
    <w:rsid w:val="00237128"/>
    <w:rsid w:val="002456C1"/>
    <w:rsid w:val="00304B28"/>
    <w:rsid w:val="0048501C"/>
    <w:rsid w:val="0057350C"/>
    <w:rsid w:val="0065515F"/>
    <w:rsid w:val="00743D5B"/>
    <w:rsid w:val="00772E6D"/>
    <w:rsid w:val="00887109"/>
    <w:rsid w:val="00924932"/>
    <w:rsid w:val="00A02172"/>
    <w:rsid w:val="00A571F7"/>
    <w:rsid w:val="00B40121"/>
    <w:rsid w:val="00B60A14"/>
    <w:rsid w:val="00CB2961"/>
    <w:rsid w:val="00FB0B1F"/>
    <w:rsid w:val="00FD0F8B"/>
    <w:rsid w:val="01923798"/>
    <w:rsid w:val="028265A2"/>
    <w:rsid w:val="032D6C2A"/>
    <w:rsid w:val="03F927D8"/>
    <w:rsid w:val="086F1460"/>
    <w:rsid w:val="09DD34F0"/>
    <w:rsid w:val="0ACA76AF"/>
    <w:rsid w:val="0C4E5C84"/>
    <w:rsid w:val="0C74196B"/>
    <w:rsid w:val="0CC8630E"/>
    <w:rsid w:val="0DE90F91"/>
    <w:rsid w:val="0F8410A2"/>
    <w:rsid w:val="10EA0134"/>
    <w:rsid w:val="13BF7187"/>
    <w:rsid w:val="15310D43"/>
    <w:rsid w:val="16675D7A"/>
    <w:rsid w:val="166C23D9"/>
    <w:rsid w:val="169A6F29"/>
    <w:rsid w:val="1739327C"/>
    <w:rsid w:val="174F097B"/>
    <w:rsid w:val="18512847"/>
    <w:rsid w:val="188D5986"/>
    <w:rsid w:val="19961552"/>
    <w:rsid w:val="1BF400B9"/>
    <w:rsid w:val="1C1517A1"/>
    <w:rsid w:val="1C3D4DC2"/>
    <w:rsid w:val="1E746D5F"/>
    <w:rsid w:val="1E851DE6"/>
    <w:rsid w:val="1EC4699D"/>
    <w:rsid w:val="20C45DF2"/>
    <w:rsid w:val="22466868"/>
    <w:rsid w:val="241F02D3"/>
    <w:rsid w:val="2481624A"/>
    <w:rsid w:val="249953E8"/>
    <w:rsid w:val="24AE34FB"/>
    <w:rsid w:val="25975F0F"/>
    <w:rsid w:val="26DB45BB"/>
    <w:rsid w:val="26DC1546"/>
    <w:rsid w:val="2E8550C8"/>
    <w:rsid w:val="2FDB0F1C"/>
    <w:rsid w:val="31DE61E8"/>
    <w:rsid w:val="3344502A"/>
    <w:rsid w:val="35B766B1"/>
    <w:rsid w:val="36F154C9"/>
    <w:rsid w:val="3A4F32A6"/>
    <w:rsid w:val="3BD11425"/>
    <w:rsid w:val="3BE63123"/>
    <w:rsid w:val="3C4A3796"/>
    <w:rsid w:val="3F6C0F7A"/>
    <w:rsid w:val="3FC96EB0"/>
    <w:rsid w:val="41C619F5"/>
    <w:rsid w:val="420B38E3"/>
    <w:rsid w:val="429B571D"/>
    <w:rsid w:val="43D110E1"/>
    <w:rsid w:val="43DA1533"/>
    <w:rsid w:val="446217B4"/>
    <w:rsid w:val="44884059"/>
    <w:rsid w:val="464942AC"/>
    <w:rsid w:val="487E515D"/>
    <w:rsid w:val="4E917614"/>
    <w:rsid w:val="4F9071D6"/>
    <w:rsid w:val="5227300C"/>
    <w:rsid w:val="525E180D"/>
    <w:rsid w:val="54F75F49"/>
    <w:rsid w:val="55072061"/>
    <w:rsid w:val="555667CB"/>
    <w:rsid w:val="55AD224B"/>
    <w:rsid w:val="57F53C84"/>
    <w:rsid w:val="597E2795"/>
    <w:rsid w:val="5A0233C6"/>
    <w:rsid w:val="5A1B616B"/>
    <w:rsid w:val="5B527A35"/>
    <w:rsid w:val="5BE93EEE"/>
    <w:rsid w:val="5CF52D6E"/>
    <w:rsid w:val="5D983CCE"/>
    <w:rsid w:val="5F3758FE"/>
    <w:rsid w:val="630337DD"/>
    <w:rsid w:val="669577CA"/>
    <w:rsid w:val="690B2353"/>
    <w:rsid w:val="6941503B"/>
    <w:rsid w:val="6A4620F8"/>
    <w:rsid w:val="6AEE006E"/>
    <w:rsid w:val="6F3A2F99"/>
    <w:rsid w:val="6FF70B06"/>
    <w:rsid w:val="700C4F68"/>
    <w:rsid w:val="705E0D1A"/>
    <w:rsid w:val="72D0088C"/>
    <w:rsid w:val="73BC66FB"/>
    <w:rsid w:val="74E6183A"/>
    <w:rsid w:val="76B76B57"/>
    <w:rsid w:val="786A240A"/>
    <w:rsid w:val="78B142C8"/>
    <w:rsid w:val="7C526994"/>
    <w:rsid w:val="7D4A6009"/>
    <w:rsid w:val="7E216A90"/>
    <w:rsid w:val="7E790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
    <w:name w:val="样式1"/>
    <w:basedOn w:val="1"/>
    <w:autoRedefine/>
    <w:qFormat/>
    <w:uiPriority w:val="0"/>
    <w:pPr>
      <w:spacing w:line="540" w:lineRule="exact"/>
    </w:pPr>
    <w:rPr>
      <w:rFonts w:eastAsia="仿宋_GB2312"/>
      <w:sz w:val="32"/>
    </w:rPr>
  </w:style>
  <w:style w:type="paragraph" w:customStyle="1" w:styleId="12">
    <w:name w:val="大标题"/>
    <w:basedOn w:val="3"/>
    <w:next w:val="3"/>
    <w:qFormat/>
    <w:uiPriority w:val="0"/>
    <w:rPr>
      <w:rFonts w:eastAsia="方正小标宋简体" w:asciiTheme="minorHAnsi" w:hAnsiTheme="minorHAnsi"/>
      <w:b w:val="0"/>
    </w:rPr>
  </w:style>
  <w:style w:type="character" w:customStyle="1" w:styleId="13">
    <w:name w:val="17"/>
    <w:basedOn w:val="9"/>
    <w:qFormat/>
    <w:uiPriority w:val="0"/>
    <w:rPr>
      <w:rFonts w:hint="eastAsia" w:ascii="仿宋_GB2312" w:eastAsia="仿宋_GB2312"/>
      <w:b/>
      <w:bCs/>
      <w:kern w:val="44"/>
      <w:sz w:val="44"/>
      <w:szCs w:val="44"/>
    </w:rPr>
  </w:style>
  <w:style w:type="paragraph" w:customStyle="1" w:styleId="14">
    <w:name w:val="BodyText2"/>
    <w:basedOn w:val="1"/>
    <w:autoRedefine/>
    <w:qFormat/>
    <w:uiPriority w:val="0"/>
    <w:pPr>
      <w:spacing w:after="120" w:line="480" w:lineRule="auto"/>
    </w:pPr>
    <w:rPr>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3557</Words>
  <Characters>4407</Characters>
  <Lines>34</Lines>
  <Paragraphs>9</Paragraphs>
  <TotalTime>43</TotalTime>
  <ScaleCrop>false</ScaleCrop>
  <LinksUpToDate>false</LinksUpToDate>
  <CharactersWithSpaces>4508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WPS_1435958492</cp:lastModifiedBy>
  <cp:lastPrinted>2024-06-11T07:21:28Z</cp:lastPrinted>
  <dcterms:modified xsi:type="dcterms:W3CDTF">2024-06-11T07:22:02Z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B7527B2BA94C458180351A4D037FB5F1_12</vt:lpwstr>
  </property>
</Properties>
</file>