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广西科学技术奖提名及形审公示表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327"/>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420" w:firstLineChars="200"/>
              <w:jc w:val="center"/>
              <w:rPr>
                <w:rFonts w:ascii="仿宋_GB2312" w:hAnsi="仿宋_GB2312" w:eastAsia="仿宋_GB2312" w:cs="仿宋_GB2312"/>
                <w:szCs w:val="21"/>
              </w:rPr>
            </w:pPr>
            <w:r>
              <w:rPr>
                <w:rFonts w:hint="eastAsia" w:ascii="仿宋_GB2312" w:hAnsi="仿宋_GB2312" w:eastAsia="仿宋_GB2312" w:cs="仿宋_GB2312"/>
                <w:szCs w:val="21"/>
              </w:rPr>
              <w:t>几种重要淡水鱼预制菜品质调控和加工关键技术研发与应用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jc w:val="both"/>
              <w:rPr>
                <w:rFonts w:ascii="仿宋_GB2312" w:hAnsi="仿宋_GB2312" w:eastAsia="仿宋_GB2312" w:cs="仿宋_GB2312"/>
                <w:szCs w:val="21"/>
              </w:rPr>
            </w:pPr>
            <w:r>
              <w:rPr>
                <w:rFonts w:hint="eastAsia" w:ascii="仿宋_GB2312" w:hAnsi="仿宋_GB2312" w:eastAsia="仿宋_GB2312" w:cs="仿宋_GB2312"/>
                <w:szCs w:val="21"/>
              </w:rPr>
              <w:t>郁二蒙，江林源，马华威，刘利平，谢骏，郭忠宝，李慷，童桂香，施文正，田晶晶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jc w:val="both"/>
              <w:rPr>
                <w:rFonts w:ascii="仿宋_GB2312" w:hAnsi="仿宋_GB2312" w:eastAsia="仿宋_GB2312" w:cs="仿宋_GB2312"/>
                <w:szCs w:val="21"/>
              </w:rPr>
            </w:pPr>
            <w:r>
              <w:rPr>
                <w:rFonts w:hint="eastAsia" w:ascii="仿宋_GB2312" w:hAnsi="仿宋_GB2312" w:eastAsia="仿宋_GB2312" w:cs="仿宋_GB2312"/>
                <w:szCs w:val="21"/>
              </w:rPr>
              <w:t>广西壮族自治区水产科学研究院（广西壮族自治区渔业病害防治环境监测和质量检验中心、广西壮族自治区水生野生动物救护中心），广西海洋科学院，上海海洋大学，中国水产科学研究院珠江水产研究所，广西海飞食贸易有限公司，广西金海盈食品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自治区农业农村厅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60"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915"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460"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国家发明专利</w:t>
            </w:r>
          </w:p>
        </w:tc>
        <w:tc>
          <w:tcPr>
            <w:tcW w:w="915" w:type="dxa"/>
            <w:gridSpan w:val="2"/>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default" w:ascii="仿宋_GB2312" w:hAnsi="仿宋_GB2312" w:eastAsia="仿宋_GB2312" w:cs="仿宋_GB2312"/>
                <w:bCs/>
                <w:szCs w:val="21"/>
                <w:lang w:val="en-US" w:eastAsia="zh-CN"/>
              </w:rPr>
              <w:t>一种罗非鱼脆化的养殖方法</w:t>
            </w:r>
          </w:p>
        </w:tc>
        <w:tc>
          <w:tcPr>
            <w:tcW w:w="103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中国</w:t>
            </w:r>
          </w:p>
        </w:tc>
        <w:tc>
          <w:tcPr>
            <w:tcW w:w="975" w:type="dxa"/>
            <w:tcMar>
              <w:left w:w="57" w:type="dxa"/>
              <w:right w:w="57" w:type="dxa"/>
            </w:tcMar>
            <w:vAlign w:val="center"/>
          </w:tcPr>
          <w:p>
            <w:pPr>
              <w:adjustRightInd w:val="0"/>
              <w:snapToGrid w:val="0"/>
              <w:spacing w:line="280" w:lineRule="exact"/>
              <w:jc w:val="center"/>
              <w:rPr>
                <w:rFonts w:hint="default" w:ascii="Times New Roman" w:hAnsi="Times New Roman" w:eastAsia="仿宋_GB2312" w:cs="Times New Roman"/>
                <w:bCs/>
                <w:sz w:val="18"/>
                <w:szCs w:val="18"/>
                <w:lang w:val="en-US" w:eastAsia="zh-CN"/>
              </w:rPr>
            </w:pPr>
            <w:r>
              <w:rPr>
                <w:rFonts w:hint="default" w:ascii="Times New Roman" w:hAnsi="Times New Roman" w:eastAsia="方正黑体_GBK" w:cs="Times New Roman"/>
                <w:snapToGrid w:val="0"/>
                <w:color w:val="auto"/>
                <w:sz w:val="18"/>
                <w:szCs w:val="18"/>
              </w:rPr>
              <w:t>ZL202210240724.8</w:t>
            </w:r>
          </w:p>
        </w:tc>
        <w:tc>
          <w:tcPr>
            <w:tcW w:w="855" w:type="dxa"/>
            <w:tcMar>
              <w:left w:w="57" w:type="dxa"/>
              <w:right w:w="57" w:type="dxa"/>
            </w:tcMar>
            <w:vAlign w:val="center"/>
          </w:tcPr>
          <w:p>
            <w:pPr>
              <w:adjustRightInd w:val="0"/>
              <w:snapToGrid w:val="0"/>
              <w:spacing w:line="28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方正黑体_GBK" w:cs="Times New Roman"/>
                <w:snapToGrid w:val="0"/>
                <w:color w:val="auto"/>
                <w:sz w:val="18"/>
                <w:szCs w:val="18"/>
              </w:rPr>
              <w:t>2023-01-24</w:t>
            </w:r>
          </w:p>
        </w:tc>
        <w:tc>
          <w:tcPr>
            <w:tcW w:w="1034"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rPr>
            </w:pPr>
            <w:r>
              <w:rPr>
                <w:rFonts w:hint="eastAsia" w:ascii="仿宋_GB2312" w:hAnsi="仿宋_GB2312" w:eastAsia="仿宋_GB2312" w:cs="仿宋_GB2312"/>
                <w:bCs/>
                <w:szCs w:val="21"/>
                <w:lang w:val="en-US" w:eastAsia="zh-CN"/>
              </w:rPr>
              <w:t>证书号第5708011号</w:t>
            </w:r>
          </w:p>
        </w:tc>
        <w:tc>
          <w:tcPr>
            <w:tcW w:w="883"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default" w:ascii="仿宋_GB2312" w:hAnsi="仿宋_GB2312" w:eastAsia="仿宋_GB2312" w:cs="仿宋_GB2312"/>
                <w:bCs/>
                <w:szCs w:val="21"/>
                <w:lang w:val="en-US" w:eastAsia="zh-CN"/>
              </w:rPr>
              <w:t>广西壮族自治区水产科学研究院</w:t>
            </w:r>
          </w:p>
        </w:tc>
        <w:tc>
          <w:tcPr>
            <w:tcW w:w="783"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rPr>
              <w:t>郭忠宝，高开进，史开元，肖俊</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已授权</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460"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国家发明专利</w:t>
            </w:r>
          </w:p>
        </w:tc>
        <w:tc>
          <w:tcPr>
            <w:tcW w:w="915" w:type="dxa"/>
            <w:gridSpan w:val="2"/>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多重PCR检测水产品中四种食源性致病菌的引物组及方法</w:t>
            </w:r>
          </w:p>
        </w:tc>
        <w:tc>
          <w:tcPr>
            <w:tcW w:w="103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中国</w:t>
            </w:r>
          </w:p>
        </w:tc>
        <w:tc>
          <w:tcPr>
            <w:tcW w:w="975" w:type="dxa"/>
            <w:tcMar>
              <w:left w:w="57" w:type="dxa"/>
              <w:right w:w="57" w:type="dxa"/>
            </w:tcMar>
            <w:vAlign w:val="center"/>
          </w:tcPr>
          <w:p>
            <w:pPr>
              <w:adjustRightInd w:val="0"/>
              <w:snapToGrid w:val="0"/>
              <w:spacing w:line="280" w:lineRule="exact"/>
              <w:jc w:val="center"/>
              <w:rPr>
                <w:rFonts w:hint="default" w:ascii="Times New Roman" w:hAnsi="Times New Roman" w:eastAsia="仿宋_GB2312" w:cs="Times New Roman"/>
                <w:bCs/>
                <w:sz w:val="18"/>
                <w:szCs w:val="18"/>
                <w:lang w:val="en-US" w:eastAsia="zh-CN"/>
              </w:rPr>
            </w:pPr>
            <w:r>
              <w:rPr>
                <w:rFonts w:hint="default" w:ascii="Times New Roman" w:hAnsi="Times New Roman" w:eastAsia="方正黑体_GBK" w:cs="Times New Roman"/>
                <w:snapToGrid w:val="0"/>
                <w:color w:val="auto"/>
                <w:sz w:val="18"/>
                <w:szCs w:val="18"/>
              </w:rPr>
              <w:t>ZL201511017398.0</w:t>
            </w:r>
          </w:p>
        </w:tc>
        <w:tc>
          <w:tcPr>
            <w:tcW w:w="855" w:type="dxa"/>
            <w:tcMar>
              <w:left w:w="57" w:type="dxa"/>
              <w:right w:w="57" w:type="dxa"/>
            </w:tcMar>
            <w:vAlign w:val="center"/>
          </w:tcPr>
          <w:p>
            <w:pPr>
              <w:adjustRightInd w:val="0"/>
              <w:snapToGrid w:val="0"/>
              <w:spacing w:line="280" w:lineRule="exact"/>
              <w:jc w:val="center"/>
              <w:rPr>
                <w:rFonts w:hint="default" w:ascii="Times New Roman" w:hAnsi="Times New Roman" w:eastAsia="仿宋_GB2312" w:cs="Times New Roman"/>
                <w:bCs/>
                <w:szCs w:val="21"/>
                <w:lang w:val="en-US" w:eastAsia="zh-CN"/>
              </w:rPr>
            </w:pPr>
            <w:r>
              <w:rPr>
                <w:rFonts w:hint="default" w:ascii="Times New Roman" w:hAnsi="Times New Roman" w:eastAsia="方正黑体_GBK" w:cs="Times New Roman"/>
                <w:snapToGrid w:val="0"/>
                <w:color w:val="auto"/>
                <w:sz w:val="18"/>
                <w:szCs w:val="18"/>
              </w:rPr>
              <w:t>2019-05-10</w:t>
            </w:r>
          </w:p>
        </w:tc>
        <w:tc>
          <w:tcPr>
            <w:tcW w:w="1034"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rPr>
            </w:pPr>
            <w:r>
              <w:rPr>
                <w:rFonts w:hint="default" w:ascii="仿宋_GB2312" w:hAnsi="仿宋_GB2312" w:eastAsia="仿宋_GB2312" w:cs="仿宋_GB2312"/>
                <w:bCs/>
                <w:szCs w:val="21"/>
                <w:lang w:val="en-US"/>
              </w:rPr>
              <w:t>证书号第3371763号</w:t>
            </w:r>
          </w:p>
        </w:tc>
        <w:tc>
          <w:tcPr>
            <w:tcW w:w="883"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default" w:ascii="仿宋_GB2312" w:hAnsi="仿宋_GB2312" w:eastAsia="仿宋_GB2312" w:cs="仿宋_GB2312"/>
                <w:bCs/>
                <w:szCs w:val="21"/>
                <w:lang w:val="en-US" w:eastAsia="zh-CN"/>
              </w:rPr>
              <w:t>广西壮族自治区水产科学研究院</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韦信贤，童桂香，黎小正，吴祥庆，黄国秋，陈静</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lang w:val="en-US" w:eastAsia="zh-CN"/>
              </w:rPr>
              <w:t>已授权</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eastAsia="zh-CN"/>
              </w:rPr>
            </w:pPr>
            <w:r>
              <w:rPr>
                <w:rFonts w:hint="eastAsia" w:ascii="仿宋_GB2312" w:hAnsi="仿宋_GB2312" w:eastAsia="仿宋_GB2312" w:cs="仿宋_GB2312"/>
                <w:bCs/>
                <w:szCs w:val="21"/>
                <w:lang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460"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实用新型</w:t>
            </w:r>
          </w:p>
        </w:tc>
        <w:tc>
          <w:tcPr>
            <w:tcW w:w="915" w:type="dxa"/>
            <w:gridSpan w:val="2"/>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一种罗非鱼食品加工用腥味降解装置</w:t>
            </w:r>
          </w:p>
        </w:tc>
        <w:tc>
          <w:tcPr>
            <w:tcW w:w="103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中国</w:t>
            </w:r>
          </w:p>
        </w:tc>
        <w:tc>
          <w:tcPr>
            <w:tcW w:w="975" w:type="dxa"/>
            <w:tcMar>
              <w:left w:w="57" w:type="dxa"/>
              <w:right w:w="57" w:type="dxa"/>
            </w:tcMar>
            <w:vAlign w:val="center"/>
          </w:tcPr>
          <w:p>
            <w:pPr>
              <w:adjustRightInd w:val="0"/>
              <w:snapToGrid w:val="0"/>
              <w:spacing w:line="320" w:lineRule="exact"/>
              <w:jc w:val="center"/>
              <w:rPr>
                <w:rFonts w:hint="default" w:ascii="Times New Roman" w:hAnsi="Times New Roman" w:eastAsia="仿宋_GB2312" w:cs="Times New Roman"/>
                <w:bCs/>
                <w:sz w:val="18"/>
                <w:szCs w:val="18"/>
                <w:lang w:val="en-US" w:eastAsia="zh-CN"/>
              </w:rPr>
            </w:pPr>
            <w:r>
              <w:rPr>
                <w:rFonts w:hint="default" w:ascii="Times New Roman" w:hAnsi="Times New Roman" w:eastAsia="仿宋_GB2312" w:cs="Times New Roman"/>
                <w:bCs/>
                <w:sz w:val="18"/>
                <w:szCs w:val="18"/>
                <w:lang w:val="en-US" w:eastAsia="zh-CN"/>
              </w:rPr>
              <w:t>ZL202221576122.1</w:t>
            </w:r>
          </w:p>
        </w:tc>
        <w:tc>
          <w:tcPr>
            <w:tcW w:w="855" w:type="dxa"/>
            <w:tcMar>
              <w:left w:w="57" w:type="dxa"/>
              <w:right w:w="57" w:type="dxa"/>
            </w:tcMar>
            <w:vAlign w:val="center"/>
          </w:tcPr>
          <w:p>
            <w:pPr>
              <w:adjustRightInd w:val="0"/>
              <w:snapToGrid w:val="0"/>
              <w:spacing w:line="320" w:lineRule="exact"/>
              <w:jc w:val="center"/>
              <w:rPr>
                <w:rFonts w:hint="default" w:ascii="Times New Roman" w:hAnsi="Times New Roman" w:eastAsia="仿宋_GB2312" w:cs="Times New Roman"/>
                <w:bCs/>
                <w:szCs w:val="21"/>
                <w:lang w:val="en-US" w:eastAsia="zh-CN"/>
              </w:rPr>
            </w:pPr>
            <w:r>
              <w:rPr>
                <w:rFonts w:hint="default" w:ascii="Times New Roman" w:hAnsi="Times New Roman" w:cs="Times New Roman"/>
                <w:snapToGrid w:val="0"/>
                <w:color w:val="auto"/>
                <w:sz w:val="18"/>
                <w:szCs w:val="18"/>
              </w:rPr>
              <w:t>2022-11-01</w:t>
            </w:r>
          </w:p>
        </w:tc>
        <w:tc>
          <w:tcPr>
            <w:tcW w:w="1034"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证书号第17686591号</w:t>
            </w:r>
          </w:p>
        </w:tc>
        <w:tc>
          <w:tcPr>
            <w:tcW w:w="883"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default" w:ascii="仿宋_GB2312" w:hAnsi="仿宋_GB2312" w:eastAsia="仿宋_GB2312" w:cs="仿宋_GB2312"/>
                <w:bCs/>
                <w:szCs w:val="21"/>
                <w:lang w:val="en-US" w:eastAsia="zh-CN"/>
              </w:rPr>
              <w:t>广西壮族自治区水产科学研究院</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马华威;吕敏;罗旭;潘传燕;郁二蒙;张文敏;吴姿;阮志德</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lang w:val="en-US" w:eastAsia="zh-CN"/>
              </w:rPr>
              <w:t>已授权</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eastAsia="zh-CN"/>
              </w:rPr>
            </w:pPr>
            <w:r>
              <w:rPr>
                <w:rFonts w:hint="eastAsia" w:ascii="仿宋_GB2312" w:hAnsi="仿宋_GB2312" w:eastAsia="仿宋_GB2312" w:cs="仿宋_GB2312"/>
                <w:bCs/>
                <w:szCs w:val="21"/>
                <w:lang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460"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国家发明专利</w:t>
            </w:r>
          </w:p>
        </w:tc>
        <w:tc>
          <w:tcPr>
            <w:tcW w:w="915" w:type="dxa"/>
            <w:gridSpan w:val="2"/>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一株具有抑制水产品土腥味物质形成的地衣芽孢杆菌鲜味菌1号及其应用</w:t>
            </w:r>
          </w:p>
        </w:tc>
        <w:tc>
          <w:tcPr>
            <w:tcW w:w="103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中国</w:t>
            </w:r>
          </w:p>
        </w:tc>
        <w:tc>
          <w:tcPr>
            <w:tcW w:w="975" w:type="dxa"/>
            <w:tcMar>
              <w:left w:w="57" w:type="dxa"/>
              <w:right w:w="57" w:type="dxa"/>
            </w:tcMar>
            <w:vAlign w:val="center"/>
          </w:tcPr>
          <w:p>
            <w:pPr>
              <w:adjustRightInd w:val="0"/>
              <w:snapToGrid w:val="0"/>
              <w:spacing w:line="320" w:lineRule="exact"/>
              <w:jc w:val="center"/>
              <w:rPr>
                <w:rFonts w:hint="default" w:ascii="Times New Roman" w:hAnsi="Times New Roman" w:eastAsia="仿宋_GB2312" w:cs="Times New Roman"/>
                <w:bCs/>
                <w:sz w:val="18"/>
                <w:szCs w:val="18"/>
                <w:lang w:val="en-US" w:eastAsia="zh-CN"/>
              </w:rPr>
            </w:pPr>
            <w:r>
              <w:rPr>
                <w:rFonts w:hint="default" w:ascii="Times New Roman" w:hAnsi="Times New Roman" w:eastAsia="方正黑体_GBK" w:cs="Times New Roman"/>
                <w:snapToGrid w:val="0"/>
                <w:color w:val="auto"/>
                <w:sz w:val="18"/>
                <w:szCs w:val="18"/>
              </w:rPr>
              <w:t>ZL 202010860087.5</w:t>
            </w:r>
          </w:p>
        </w:tc>
        <w:tc>
          <w:tcPr>
            <w:tcW w:w="855" w:type="dxa"/>
            <w:tcMar>
              <w:left w:w="57" w:type="dxa"/>
              <w:right w:w="57" w:type="dxa"/>
            </w:tcMar>
            <w:vAlign w:val="center"/>
          </w:tcPr>
          <w:p>
            <w:pPr>
              <w:adjustRightInd w:val="0"/>
              <w:snapToGrid w:val="0"/>
              <w:spacing w:line="320" w:lineRule="exact"/>
              <w:jc w:val="center"/>
              <w:rPr>
                <w:rFonts w:hint="default" w:ascii="Times New Roman" w:hAnsi="Times New Roman" w:eastAsia="仿宋_GB2312" w:cs="Times New Roman"/>
                <w:bCs/>
                <w:szCs w:val="21"/>
                <w:lang w:val="en-US" w:eastAsia="zh-CN"/>
              </w:rPr>
            </w:pPr>
            <w:r>
              <w:rPr>
                <w:rFonts w:hint="default" w:ascii="Times New Roman" w:hAnsi="Times New Roman" w:cs="Times New Roman"/>
                <w:snapToGrid w:val="0"/>
                <w:color w:val="auto"/>
                <w:sz w:val="18"/>
                <w:szCs w:val="18"/>
                <w:lang w:val="en-US" w:eastAsia="zh-CN"/>
              </w:rPr>
              <w:t>2022-4-19</w:t>
            </w:r>
          </w:p>
        </w:tc>
        <w:tc>
          <w:tcPr>
            <w:tcW w:w="1034"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rPr>
            </w:pPr>
            <w:r>
              <w:rPr>
                <w:rFonts w:hint="eastAsia" w:ascii="仿宋_GB2312" w:hAnsi="仿宋_GB2312" w:eastAsia="仿宋_GB2312" w:cs="仿宋_GB2312"/>
                <w:bCs/>
                <w:szCs w:val="21"/>
                <w:lang w:val="en-US" w:eastAsia="zh-CN"/>
              </w:rPr>
              <w:t>证书号第5087315号</w:t>
            </w:r>
          </w:p>
        </w:tc>
        <w:tc>
          <w:tcPr>
            <w:tcW w:w="883"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上海海洋大学</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刘利平，李慷</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lang w:val="en-US" w:eastAsia="zh-CN"/>
              </w:rPr>
              <w:t>已授权</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460"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国家发明专利</w:t>
            </w:r>
          </w:p>
        </w:tc>
        <w:tc>
          <w:tcPr>
            <w:tcW w:w="915" w:type="dxa"/>
            <w:gridSpan w:val="2"/>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一种使用复合絮凝剂回收鱼糜漂洗水中水溶性蛋白质的方法</w:t>
            </w:r>
          </w:p>
        </w:tc>
        <w:tc>
          <w:tcPr>
            <w:tcW w:w="103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中国</w:t>
            </w:r>
          </w:p>
        </w:tc>
        <w:tc>
          <w:tcPr>
            <w:tcW w:w="975" w:type="dxa"/>
            <w:tcMar>
              <w:left w:w="57" w:type="dxa"/>
              <w:right w:w="57" w:type="dxa"/>
            </w:tcMar>
            <w:vAlign w:val="center"/>
          </w:tcPr>
          <w:p>
            <w:pPr>
              <w:adjustRightInd w:val="0"/>
              <w:snapToGrid w:val="0"/>
              <w:spacing w:line="320" w:lineRule="exact"/>
              <w:jc w:val="center"/>
              <w:rPr>
                <w:rFonts w:hint="default" w:ascii="Times New Roman" w:hAnsi="Times New Roman" w:eastAsia="仿宋_GB2312" w:cs="Times New Roman"/>
                <w:bCs/>
                <w:sz w:val="18"/>
                <w:szCs w:val="18"/>
                <w:lang w:val="en-US" w:eastAsia="zh-CN"/>
              </w:rPr>
            </w:pPr>
            <w:r>
              <w:rPr>
                <w:rFonts w:hint="default" w:ascii="Times New Roman" w:hAnsi="Times New Roman" w:cs="Times New Roman"/>
                <w:snapToGrid w:val="0"/>
                <w:color w:val="auto"/>
                <w:sz w:val="18"/>
                <w:szCs w:val="18"/>
                <w:lang w:val="en-US" w:eastAsia="zh-CN"/>
              </w:rPr>
              <w:t>ZL201410106352.5</w:t>
            </w:r>
          </w:p>
        </w:tc>
        <w:tc>
          <w:tcPr>
            <w:tcW w:w="855" w:type="dxa"/>
            <w:tcMar>
              <w:left w:w="57" w:type="dxa"/>
              <w:right w:w="57" w:type="dxa"/>
            </w:tcMar>
            <w:vAlign w:val="center"/>
          </w:tcPr>
          <w:p>
            <w:pPr>
              <w:adjustRightInd w:val="0"/>
              <w:snapToGrid w:val="0"/>
              <w:spacing w:line="320" w:lineRule="exact"/>
              <w:jc w:val="center"/>
              <w:rPr>
                <w:rFonts w:hint="default" w:ascii="Times New Roman" w:hAnsi="Times New Roman" w:eastAsia="仿宋_GB2312" w:cs="Times New Roman"/>
                <w:bCs/>
                <w:szCs w:val="21"/>
                <w:lang w:val="en-US" w:eastAsia="zh-CN"/>
              </w:rPr>
            </w:pPr>
            <w:r>
              <w:rPr>
                <w:rFonts w:hint="default" w:ascii="Times New Roman" w:hAnsi="Times New Roman" w:cs="Times New Roman"/>
                <w:snapToGrid w:val="0"/>
                <w:color w:val="auto"/>
                <w:sz w:val="18"/>
                <w:szCs w:val="18"/>
              </w:rPr>
              <w:t>2016-08-17</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highlight w:val="yellow"/>
                <w:lang w:val="en-US" w:eastAsia="zh-CN"/>
              </w:rPr>
            </w:pPr>
          </w:p>
          <w:p>
            <w:pPr>
              <w:spacing w:line="260" w:lineRule="exact"/>
              <w:jc w:val="both"/>
              <w:rPr>
                <w:rFonts w:hint="eastAsia"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lang w:val="en-US" w:eastAsia="zh-CN"/>
              </w:rPr>
              <w:t>证书号第2182880号</w:t>
            </w:r>
          </w:p>
        </w:tc>
        <w:tc>
          <w:tcPr>
            <w:tcW w:w="883"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上海海洋大学</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施文正;汪之和;严子钧;付强</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lang w:val="en-US" w:eastAsia="zh-CN"/>
              </w:rPr>
              <w:t>已授权</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460"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国家发明专利</w:t>
            </w:r>
          </w:p>
        </w:tc>
        <w:tc>
          <w:tcPr>
            <w:tcW w:w="915" w:type="dxa"/>
            <w:gridSpan w:val="2"/>
            <w:tcMar>
              <w:left w:w="57" w:type="dxa"/>
              <w:right w:w="57" w:type="dxa"/>
            </w:tcMar>
            <w:vAlign w:val="center"/>
          </w:tcPr>
          <w:p>
            <w:pPr>
              <w:adjustRightInd w:val="0"/>
              <w:snapToGrid w:val="0"/>
              <w:spacing w:line="32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一种蚕豆苷的分离纯化方法及其产品和应用</w:t>
            </w:r>
          </w:p>
        </w:tc>
        <w:tc>
          <w:tcPr>
            <w:tcW w:w="1035"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中国</w:t>
            </w:r>
          </w:p>
        </w:tc>
        <w:tc>
          <w:tcPr>
            <w:tcW w:w="975" w:type="dxa"/>
            <w:tcMar>
              <w:left w:w="57" w:type="dxa"/>
              <w:right w:w="57" w:type="dxa"/>
            </w:tcMar>
            <w:vAlign w:val="center"/>
          </w:tcPr>
          <w:p>
            <w:pPr>
              <w:adjustRightInd w:val="0"/>
              <w:snapToGrid w:val="0"/>
              <w:spacing w:line="320" w:lineRule="exact"/>
              <w:jc w:val="center"/>
              <w:rPr>
                <w:rFonts w:hint="default" w:ascii="Times New Roman" w:hAnsi="Times New Roman" w:cs="Times New Roman"/>
                <w:snapToGrid w:val="0"/>
                <w:color w:val="auto"/>
                <w:sz w:val="18"/>
                <w:szCs w:val="18"/>
              </w:rPr>
            </w:pPr>
            <w:r>
              <w:rPr>
                <w:rFonts w:hint="default" w:ascii="Times New Roman" w:hAnsi="Times New Roman" w:cs="Times New Roman"/>
                <w:snapToGrid w:val="0"/>
                <w:color w:val="auto"/>
                <w:sz w:val="18"/>
                <w:szCs w:val="18"/>
              </w:rPr>
              <w:t>ZL202</w:t>
            </w:r>
          </w:p>
          <w:p>
            <w:pPr>
              <w:adjustRightInd w:val="0"/>
              <w:snapToGrid w:val="0"/>
              <w:spacing w:line="320" w:lineRule="exact"/>
              <w:jc w:val="center"/>
              <w:rPr>
                <w:rFonts w:hint="default" w:ascii="Times New Roman" w:hAnsi="Times New Roman" w:cs="Times New Roman"/>
                <w:snapToGrid w:val="0"/>
                <w:color w:val="auto"/>
                <w:sz w:val="18"/>
                <w:szCs w:val="18"/>
              </w:rPr>
            </w:pPr>
            <w:r>
              <w:rPr>
                <w:rFonts w:hint="default" w:ascii="Times New Roman" w:hAnsi="Times New Roman" w:cs="Times New Roman"/>
                <w:snapToGrid w:val="0"/>
                <w:color w:val="auto"/>
                <w:sz w:val="18"/>
                <w:szCs w:val="18"/>
              </w:rPr>
              <w:t>21003</w:t>
            </w:r>
          </w:p>
          <w:p>
            <w:pPr>
              <w:adjustRightInd w:val="0"/>
              <w:snapToGrid w:val="0"/>
              <w:spacing w:line="320" w:lineRule="exact"/>
              <w:jc w:val="center"/>
              <w:rPr>
                <w:rFonts w:hint="default" w:ascii="Times New Roman" w:hAnsi="Times New Roman" w:cs="Times New Roman"/>
                <w:snapToGrid w:val="0"/>
                <w:color w:val="auto"/>
                <w:sz w:val="18"/>
                <w:szCs w:val="18"/>
              </w:rPr>
            </w:pPr>
            <w:r>
              <w:rPr>
                <w:rFonts w:hint="default" w:ascii="Times New Roman" w:hAnsi="Times New Roman" w:cs="Times New Roman"/>
                <w:snapToGrid w:val="0"/>
                <w:color w:val="auto"/>
                <w:sz w:val="18"/>
                <w:szCs w:val="18"/>
              </w:rPr>
              <w:t>3459.</w:t>
            </w:r>
          </w:p>
          <w:p>
            <w:pPr>
              <w:adjustRightInd w:val="0"/>
              <w:snapToGrid w:val="0"/>
              <w:spacing w:line="320" w:lineRule="exact"/>
              <w:jc w:val="center"/>
              <w:rPr>
                <w:rFonts w:hint="default" w:ascii="Times New Roman" w:hAnsi="Times New Roman" w:eastAsia="仿宋_GB2312" w:cs="Times New Roman"/>
                <w:bCs/>
                <w:sz w:val="18"/>
                <w:szCs w:val="18"/>
                <w:lang w:val="en-US" w:eastAsia="zh-CN"/>
              </w:rPr>
            </w:pPr>
            <w:r>
              <w:rPr>
                <w:rFonts w:hint="default" w:ascii="Times New Roman" w:hAnsi="Times New Roman" w:cs="Times New Roman"/>
                <w:snapToGrid w:val="0"/>
                <w:color w:val="auto"/>
                <w:sz w:val="18"/>
                <w:szCs w:val="18"/>
              </w:rPr>
              <w:t>6</w:t>
            </w:r>
          </w:p>
        </w:tc>
        <w:tc>
          <w:tcPr>
            <w:tcW w:w="855" w:type="dxa"/>
            <w:tcMar>
              <w:left w:w="57" w:type="dxa"/>
              <w:right w:w="57" w:type="dxa"/>
            </w:tcMar>
            <w:vAlign w:val="center"/>
          </w:tcPr>
          <w:p>
            <w:pPr>
              <w:adjustRightInd w:val="0"/>
              <w:snapToGrid w:val="0"/>
              <w:spacing w:line="320" w:lineRule="exact"/>
              <w:jc w:val="center"/>
              <w:rPr>
                <w:rFonts w:hint="default" w:ascii="Times New Roman" w:hAnsi="Times New Roman" w:eastAsia="仿宋_GB2312" w:cs="Times New Roman"/>
                <w:bCs/>
                <w:szCs w:val="21"/>
                <w:lang w:val="en-US" w:eastAsia="zh-CN"/>
              </w:rPr>
            </w:pPr>
            <w:r>
              <w:rPr>
                <w:rFonts w:hint="default" w:ascii="Times New Roman" w:hAnsi="Times New Roman" w:cs="Times New Roman"/>
                <w:snapToGrid w:val="0"/>
                <w:color w:val="auto"/>
                <w:sz w:val="18"/>
                <w:szCs w:val="18"/>
                <w:lang w:val="en-US" w:eastAsia="zh-CN"/>
              </w:rPr>
              <w:t>2022-8-30</w:t>
            </w:r>
          </w:p>
        </w:tc>
        <w:tc>
          <w:tcPr>
            <w:tcW w:w="1034" w:type="dxa"/>
            <w:tcMar>
              <w:left w:w="57" w:type="dxa"/>
              <w:right w:w="57" w:type="dxa"/>
            </w:tcMar>
            <w:vAlign w:val="center"/>
          </w:tcPr>
          <w:p>
            <w:pPr>
              <w:spacing w:line="260" w:lineRule="exact"/>
              <w:jc w:val="center"/>
              <w:rPr>
                <w:rFonts w:hint="default" w:ascii="仿宋_GB2312" w:hAnsi="仿宋_GB2312" w:eastAsia="仿宋_GB2312" w:cs="仿宋_GB2312"/>
                <w:bCs/>
                <w:szCs w:val="21"/>
                <w:lang w:val="en-US"/>
              </w:rPr>
            </w:pPr>
            <w:r>
              <w:rPr>
                <w:rFonts w:hint="eastAsia" w:ascii="仿宋_GB2312" w:hAnsi="仿宋_GB2312" w:eastAsia="仿宋_GB2312" w:cs="仿宋_GB2312"/>
                <w:bCs/>
                <w:szCs w:val="21"/>
                <w:lang w:val="en-US" w:eastAsia="zh-CN"/>
              </w:rPr>
              <w:t>证书号第5416299号</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 xml:space="preserve">中国水产科学研究院 </w:t>
            </w:r>
            <w:r>
              <w:rPr>
                <w:rFonts w:hint="default" w:ascii="仿宋_GB2312" w:hAnsi="仿宋_GB2312" w:eastAsia="仿宋_GB2312" w:cs="仿宋_GB2312"/>
                <w:bCs/>
                <w:szCs w:val="21"/>
                <w:lang w:val="en-US" w:eastAsia="zh-CN"/>
              </w:rPr>
              <w:t>珠江水产研究所</w:t>
            </w:r>
          </w:p>
          <w:p>
            <w:pPr>
              <w:spacing w:line="260" w:lineRule="exact"/>
              <w:jc w:val="center"/>
              <w:rPr>
                <w:rFonts w:hint="default" w:ascii="仿宋_GB2312" w:hAnsi="仿宋_GB2312" w:eastAsia="仿宋_GB2312" w:cs="仿宋_GB2312"/>
                <w:bCs/>
                <w:szCs w:val="21"/>
                <w:lang w:val="en-US" w:eastAsia="zh-CN"/>
              </w:rPr>
            </w:pP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郁二蒙,郑鑫禹,谢骏, 王广军,田晶晶,张凯, 龚望宝,李志斐,夏耘, 李红燕</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lang w:val="en-US" w:eastAsia="zh-CN"/>
              </w:rPr>
              <w:t>已授权</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60"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915"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7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34"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460" w:type="dxa"/>
            <w:tcMar>
              <w:left w:w="57" w:type="dxa"/>
              <w:right w:w="57" w:type="dxa"/>
            </w:tcMar>
            <w:vAlign w:val="center"/>
          </w:tcPr>
          <w:p>
            <w:pPr>
              <w:adjustRightInd w:val="0"/>
              <w:snapToGrid w:val="0"/>
              <w:spacing w:line="320" w:lineRule="exact"/>
              <w:rPr>
                <w:rFonts w:hint="eastAsia" w:ascii="Times New Roman"/>
                <w:snapToGrid w:val="0"/>
                <w:color w:val="000000"/>
                <w:sz w:val="18"/>
                <w:szCs w:val="18"/>
                <w:highlight w:val="none"/>
              </w:rPr>
            </w:pPr>
            <w:r>
              <w:rPr>
                <w:rFonts w:hint="eastAsia" w:ascii="Times New Roman"/>
                <w:snapToGrid w:val="0"/>
                <w:color w:val="000000"/>
                <w:sz w:val="18"/>
                <w:szCs w:val="18"/>
                <w:highlight w:val="none"/>
              </w:rPr>
              <w:t>Microorganism-mediated denitrogenation</w:t>
            </w:r>
            <w:r>
              <w:rPr>
                <w:rFonts w:hint="eastAsia"/>
                <w:snapToGrid w:val="0"/>
                <w:color w:val="000000"/>
                <w:sz w:val="18"/>
                <w:szCs w:val="18"/>
                <w:highlight w:val="none"/>
                <w:lang w:val="en-US" w:eastAsia="zh-CN"/>
              </w:rPr>
              <w:t xml:space="preserve"> </w:t>
            </w:r>
            <w:r>
              <w:rPr>
                <w:rFonts w:hint="eastAsia" w:ascii="Times New Roman"/>
                <w:snapToGrid w:val="0"/>
                <w:color w:val="000000"/>
                <w:sz w:val="18"/>
                <w:szCs w:val="18"/>
                <w:highlight w:val="none"/>
              </w:rPr>
              <w:t>of aquaculture systems provoked by poly-</w:t>
            </w:r>
          </w:p>
          <w:p>
            <w:pPr>
              <w:spacing w:line="260" w:lineRule="exact"/>
              <w:jc w:val="both"/>
              <w:rPr>
                <w:rFonts w:hint="eastAsia" w:ascii="Times New Roman"/>
                <w:snapToGrid w:val="0"/>
                <w:color w:val="000000"/>
                <w:sz w:val="18"/>
                <w:szCs w:val="18"/>
                <w:highlight w:val="none"/>
              </w:rPr>
            </w:pPr>
            <w:r>
              <w:rPr>
                <w:rFonts w:hint="eastAsia" w:ascii="Times New Roman"/>
                <w:snapToGrid w:val="0"/>
                <w:color w:val="000000"/>
                <w:sz w:val="18"/>
                <w:szCs w:val="18"/>
                <w:highlight w:val="none"/>
              </w:rPr>
              <w:t>β-hydroxybutyrate (PHB)</w:t>
            </w:r>
          </w:p>
        </w:tc>
        <w:tc>
          <w:tcPr>
            <w:tcW w:w="915" w:type="dxa"/>
            <w:gridSpan w:val="2"/>
            <w:tcMar>
              <w:left w:w="57" w:type="dxa"/>
              <w:right w:w="57" w:type="dxa"/>
            </w:tcMar>
            <w:vAlign w:val="center"/>
          </w:tcPr>
          <w:p>
            <w:pPr>
              <w:spacing w:line="260" w:lineRule="exact"/>
              <w:jc w:val="center"/>
              <w:rPr>
                <w:rFonts w:hint="eastAsia" w:ascii="Times New Roman"/>
                <w:snapToGrid w:val="0"/>
                <w:color w:val="000000"/>
                <w:sz w:val="18"/>
                <w:szCs w:val="18"/>
                <w:highlight w:val="none"/>
              </w:rPr>
            </w:pPr>
            <w:r>
              <w:rPr>
                <w:rFonts w:hint="eastAsia" w:ascii="Times New Roman"/>
                <w:snapToGrid w:val="0"/>
                <w:color w:val="000000"/>
                <w:sz w:val="18"/>
                <w:szCs w:val="18"/>
                <w:highlight w:val="none"/>
                <w:lang w:val="en-US" w:eastAsia="zh-CN"/>
              </w:rPr>
              <w:t>n</w:t>
            </w:r>
            <w:r>
              <w:rPr>
                <w:rFonts w:hint="eastAsia" w:ascii="Times New Roman"/>
                <w:snapToGrid w:val="0"/>
                <w:color w:val="000000"/>
                <w:sz w:val="18"/>
                <w:szCs w:val="18"/>
                <w:highlight w:val="none"/>
              </w:rPr>
              <w:t>pj</w:t>
            </w:r>
            <w:r>
              <w:rPr>
                <w:rFonts w:hint="eastAsia" w:ascii="Times New Roman"/>
                <w:snapToGrid w:val="0"/>
                <w:color w:val="000000"/>
                <w:sz w:val="18"/>
                <w:szCs w:val="18"/>
                <w:highlight w:val="none"/>
                <w:lang w:val="en-US" w:eastAsia="zh-CN"/>
              </w:rPr>
              <w:t xml:space="preserve"> </w:t>
            </w:r>
            <w:r>
              <w:rPr>
                <w:rFonts w:hint="eastAsia" w:ascii="Times New Roman"/>
                <w:snapToGrid w:val="0"/>
                <w:color w:val="000000"/>
                <w:sz w:val="18"/>
                <w:szCs w:val="18"/>
                <w:highlight w:val="none"/>
              </w:rPr>
              <w:t>clean water</w:t>
            </w:r>
          </w:p>
        </w:tc>
        <w:tc>
          <w:tcPr>
            <w:tcW w:w="1035" w:type="dxa"/>
            <w:tcMar>
              <w:left w:w="57" w:type="dxa"/>
              <w:right w:w="57" w:type="dxa"/>
            </w:tcMar>
            <w:vAlign w:val="center"/>
          </w:tcPr>
          <w:p>
            <w:pPr>
              <w:adjustRightInd w:val="0"/>
              <w:snapToGrid w:val="0"/>
              <w:spacing w:line="320" w:lineRule="exact"/>
              <w:rPr>
                <w:rFonts w:hint="eastAsia" w:ascii="Times New Roman"/>
                <w:snapToGrid w:val="0"/>
                <w:color w:val="000000"/>
                <w:sz w:val="18"/>
                <w:szCs w:val="18"/>
                <w:highlight w:val="none"/>
              </w:rPr>
            </w:pPr>
            <w:r>
              <w:rPr>
                <w:rFonts w:hint="eastAsia" w:ascii="Times New Roman"/>
                <w:snapToGrid w:val="0"/>
                <w:color w:val="000000"/>
                <w:sz w:val="18"/>
                <w:szCs w:val="18"/>
                <w:highlight w:val="none"/>
              </w:rPr>
              <w:t>Yun Xia, Yarong Liu, Kai Zhang, Jinhui Sun, Guangjun Wang,</w:t>
            </w:r>
            <w:r>
              <w:rPr>
                <w:rFonts w:hint="eastAsia" w:ascii="Times New Roman"/>
                <w:snapToGrid w:val="0"/>
                <w:color w:val="000000"/>
                <w:sz w:val="18"/>
                <w:szCs w:val="18"/>
                <w:highlight w:val="none"/>
                <w:lang w:val="en-US" w:eastAsia="zh-CN"/>
              </w:rPr>
              <w:t xml:space="preserve"> </w:t>
            </w:r>
            <w:r>
              <w:rPr>
                <w:rFonts w:hint="eastAsia" w:ascii="Times New Roman"/>
                <w:snapToGrid w:val="0"/>
                <w:color w:val="000000"/>
                <w:sz w:val="18"/>
                <w:szCs w:val="18"/>
                <w:highlight w:val="none"/>
              </w:rPr>
              <w:t>Zhifei Li, Jingjing Tian,</w:t>
            </w:r>
          </w:p>
          <w:p>
            <w:pPr>
              <w:spacing w:line="260" w:lineRule="exact"/>
              <w:jc w:val="center"/>
              <w:rPr>
                <w:rFonts w:hint="eastAsia" w:ascii="Times New Roman"/>
                <w:snapToGrid w:val="0"/>
                <w:color w:val="auto"/>
                <w:sz w:val="18"/>
                <w:szCs w:val="18"/>
                <w:highlight w:val="none"/>
              </w:rPr>
            </w:pPr>
            <w:r>
              <w:rPr>
                <w:rFonts w:hint="eastAsia" w:ascii="Times New Roman"/>
                <w:snapToGrid w:val="0"/>
                <w:color w:val="000000"/>
                <w:sz w:val="18"/>
                <w:szCs w:val="18"/>
                <w:highlight w:val="none"/>
              </w:rPr>
              <w:t xml:space="preserve">Wangbao Gong, Hongyan Li, Wenping Xie, </w:t>
            </w:r>
            <w:bookmarkStart w:id="0" w:name="OLE_LINK33"/>
            <w:r>
              <w:rPr>
                <w:rFonts w:hint="eastAsia" w:ascii="Times New Roman"/>
                <w:snapToGrid w:val="0"/>
                <w:color w:val="000000"/>
                <w:sz w:val="18"/>
                <w:szCs w:val="18"/>
                <w:highlight w:val="none"/>
              </w:rPr>
              <w:t>Gen Kaneko, Jun Xie</w:t>
            </w:r>
            <w:r>
              <w:rPr>
                <w:rFonts w:hint="eastAsia" w:ascii="Times New Roman"/>
                <w:snapToGrid w:val="0"/>
                <w:color w:val="000000"/>
                <w:sz w:val="18"/>
                <w:szCs w:val="18"/>
                <w:highlight w:val="none"/>
                <w:lang w:val="en-US" w:eastAsia="zh-CN"/>
              </w:rPr>
              <w:t>;</w:t>
            </w:r>
            <w:r>
              <w:rPr>
                <w:rFonts w:hint="eastAsia" w:ascii="Times New Roman"/>
                <w:snapToGrid w:val="0"/>
                <w:color w:val="000000"/>
                <w:sz w:val="18"/>
                <w:szCs w:val="18"/>
                <w:highlight w:val="none"/>
              </w:rPr>
              <w:t xml:space="preserve"> Ermeng Yu</w:t>
            </w:r>
            <w:bookmarkEnd w:id="0"/>
          </w:p>
        </w:tc>
        <w:tc>
          <w:tcPr>
            <w:tcW w:w="975" w:type="dxa"/>
            <w:tcMar>
              <w:left w:w="57" w:type="dxa"/>
              <w:right w:w="57" w:type="dxa"/>
            </w:tcMar>
            <w:vAlign w:val="center"/>
          </w:tcPr>
          <w:p>
            <w:pPr>
              <w:spacing w:line="260" w:lineRule="exact"/>
              <w:jc w:val="center"/>
              <w:rPr>
                <w:rFonts w:hint="eastAsia" w:ascii="Times New Roman"/>
                <w:snapToGrid w:val="0"/>
                <w:color w:val="000000"/>
                <w:sz w:val="18"/>
                <w:szCs w:val="18"/>
                <w:highlight w:val="none"/>
              </w:rPr>
            </w:pPr>
            <w:r>
              <w:rPr>
                <w:rFonts w:hint="eastAsia" w:ascii="Times New Roman" w:eastAsia="方正仿宋_GBK"/>
                <w:snapToGrid w:val="0"/>
                <w:color w:val="000000"/>
                <w:sz w:val="18"/>
                <w:szCs w:val="18"/>
                <w:highlight w:val="none"/>
                <w:lang w:eastAsia="zh-CN"/>
              </w:rPr>
              <w:t>2024</w:t>
            </w:r>
            <w:r>
              <w:rPr>
                <w:rFonts w:hint="eastAsia" w:ascii="Times New Roman"/>
                <w:snapToGrid w:val="0"/>
                <w:color w:val="000000"/>
                <w:sz w:val="18"/>
                <w:szCs w:val="18"/>
                <w:highlight w:val="none"/>
                <w:lang w:val="en-US" w:eastAsia="zh-CN"/>
              </w:rPr>
              <w:t>,</w:t>
            </w:r>
            <w:r>
              <w:rPr>
                <w:rFonts w:hint="eastAsia" w:ascii="Times New Roman" w:eastAsia="方正仿宋_GBK"/>
                <w:snapToGrid w:val="0"/>
                <w:color w:val="000000"/>
                <w:sz w:val="18"/>
                <w:szCs w:val="18"/>
                <w:highlight w:val="none"/>
                <w:lang w:eastAsia="zh-CN"/>
              </w:rPr>
              <w:t xml:space="preserve"> 7:43</w:t>
            </w:r>
          </w:p>
        </w:tc>
        <w:tc>
          <w:tcPr>
            <w:tcW w:w="855" w:type="dxa"/>
            <w:tcMar>
              <w:left w:w="57" w:type="dxa"/>
              <w:right w:w="57" w:type="dxa"/>
            </w:tcMar>
            <w:vAlign w:val="center"/>
          </w:tcPr>
          <w:p>
            <w:pPr>
              <w:spacing w:line="260" w:lineRule="exact"/>
              <w:jc w:val="center"/>
              <w:rPr>
                <w:rFonts w:hint="eastAsia" w:ascii="Times New Roman"/>
                <w:snapToGrid w:val="0"/>
                <w:color w:val="000000"/>
                <w:sz w:val="18"/>
                <w:szCs w:val="18"/>
                <w:highlight w:val="none"/>
                <w:lang w:val="en-US" w:eastAsia="zh-CN"/>
              </w:rPr>
            </w:pPr>
            <w:r>
              <w:rPr>
                <w:rFonts w:hint="eastAsia" w:ascii="Times New Roman"/>
                <w:snapToGrid w:val="0"/>
                <w:color w:val="000000"/>
                <w:sz w:val="18"/>
                <w:szCs w:val="18"/>
                <w:highlight w:val="none"/>
                <w:lang w:val="en-US" w:eastAsia="zh-CN"/>
              </w:rPr>
              <w:t>2024-6-3</w:t>
            </w:r>
          </w:p>
        </w:tc>
        <w:tc>
          <w:tcPr>
            <w:tcW w:w="1034" w:type="dxa"/>
            <w:tcMar>
              <w:left w:w="57" w:type="dxa"/>
              <w:right w:w="57" w:type="dxa"/>
            </w:tcMar>
            <w:vAlign w:val="center"/>
          </w:tcPr>
          <w:p>
            <w:pPr>
              <w:spacing w:line="260" w:lineRule="exact"/>
              <w:jc w:val="center"/>
              <w:rPr>
                <w:rFonts w:hint="eastAsia" w:ascii="Times New Roman"/>
                <w:snapToGrid w:val="0"/>
                <w:color w:val="000000"/>
                <w:sz w:val="18"/>
                <w:szCs w:val="18"/>
                <w:highlight w:val="none"/>
              </w:rPr>
            </w:pPr>
            <w:r>
              <w:rPr>
                <w:rFonts w:hint="eastAsia" w:ascii="Times New Roman"/>
                <w:snapToGrid w:val="0"/>
                <w:color w:val="000000"/>
                <w:sz w:val="18"/>
                <w:szCs w:val="18"/>
                <w:highlight w:val="none"/>
              </w:rPr>
              <w:t>Gen Kaneko</w:t>
            </w:r>
            <w:r>
              <w:rPr>
                <w:rFonts w:hint="eastAsia" w:ascii="Times New Roman"/>
                <w:snapToGrid w:val="0"/>
                <w:color w:val="000000"/>
                <w:sz w:val="18"/>
                <w:szCs w:val="18"/>
                <w:highlight w:val="none"/>
                <w:lang w:val="en-US" w:eastAsia="zh-CN"/>
              </w:rPr>
              <w:t>;</w:t>
            </w:r>
            <w:r>
              <w:rPr>
                <w:rFonts w:hint="eastAsia" w:ascii="Times New Roman"/>
                <w:snapToGrid w:val="0"/>
                <w:color w:val="000000"/>
                <w:sz w:val="18"/>
                <w:szCs w:val="18"/>
                <w:highlight w:val="none"/>
              </w:rPr>
              <w:t xml:space="preserve"> Ermeng Yu</w:t>
            </w:r>
          </w:p>
        </w:tc>
        <w:tc>
          <w:tcPr>
            <w:tcW w:w="883" w:type="dxa"/>
            <w:tcMar>
              <w:left w:w="57" w:type="dxa"/>
              <w:right w:w="57" w:type="dxa"/>
            </w:tcMar>
            <w:vAlign w:val="center"/>
          </w:tcPr>
          <w:p>
            <w:pPr>
              <w:spacing w:line="260" w:lineRule="exact"/>
              <w:jc w:val="center"/>
              <w:rPr>
                <w:rFonts w:hint="eastAsia" w:ascii="Times New Roman"/>
                <w:snapToGrid w:val="0"/>
                <w:color w:val="auto"/>
                <w:sz w:val="18"/>
                <w:szCs w:val="18"/>
                <w:highlight w:val="none"/>
              </w:rPr>
            </w:pPr>
            <w:r>
              <w:rPr>
                <w:rFonts w:hint="eastAsia" w:ascii="Times New Roman"/>
                <w:snapToGrid w:val="0"/>
                <w:color w:val="000000"/>
                <w:sz w:val="18"/>
                <w:szCs w:val="18"/>
                <w:highlight w:val="none"/>
              </w:rPr>
              <w:t>Yun Xia</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highlight w:val="none"/>
                <w:lang w:val="en-US" w:eastAsia="zh-CN"/>
              </w:rPr>
            </w:pPr>
            <w:r>
              <w:rPr>
                <w:rFonts w:hint="eastAsia" w:ascii="Times New Roman"/>
                <w:snapToGrid w:val="0"/>
                <w:color w:val="000000"/>
                <w:sz w:val="18"/>
                <w:szCs w:val="18"/>
                <w:highlight w:val="none"/>
                <w:lang w:val="en-US" w:eastAsia="zh-CN"/>
              </w:rPr>
              <w:t>中国水产科学研究院珠江水产研究所、</w:t>
            </w:r>
            <w:bookmarkStart w:id="9" w:name="_GoBack"/>
            <w:r>
              <w:rPr>
                <w:rFonts w:hint="eastAsia"/>
                <w:snapToGrid w:val="0"/>
                <w:color w:val="000000"/>
                <w:sz w:val="18"/>
                <w:szCs w:val="18"/>
                <w:highlight w:val="none"/>
                <w:lang w:val="en-US" w:eastAsia="zh-CN"/>
              </w:rPr>
              <w:t>天津农学院、</w:t>
            </w:r>
            <w:r>
              <w:rPr>
                <w:rFonts w:hint="eastAsia" w:ascii="Times New Roman"/>
                <w:snapToGrid w:val="0"/>
                <w:color w:val="000000"/>
                <w:sz w:val="18"/>
                <w:szCs w:val="18"/>
                <w:highlight w:val="none"/>
                <w:lang w:val="en-US" w:eastAsia="zh-CN"/>
              </w:rPr>
              <w:t xml:space="preserve">  University of Houston-Victoria、</w:t>
            </w:r>
            <w:bookmarkEnd w:id="9"/>
            <w:r>
              <w:rPr>
                <w:rFonts w:hint="eastAsia" w:ascii="Times New Roman"/>
                <w:snapToGrid w:val="0"/>
                <w:color w:val="000000"/>
                <w:sz w:val="18"/>
                <w:szCs w:val="18"/>
                <w:highlight w:val="none"/>
                <w:lang w:val="en-US" w:eastAsia="zh-CN"/>
              </w:rPr>
              <w:t>广西水产科学研究院</w:t>
            </w:r>
          </w:p>
        </w:tc>
        <w:tc>
          <w:tcPr>
            <w:tcW w:w="834" w:type="dxa"/>
            <w:tcMar>
              <w:left w:w="57" w:type="dxa"/>
              <w:right w:w="57" w:type="dxa"/>
            </w:tcMar>
            <w:vAlign w:val="center"/>
          </w:tcPr>
          <w:p>
            <w:pPr>
              <w:spacing w:line="260" w:lineRule="exact"/>
              <w:jc w:val="center"/>
              <w:rPr>
                <w:rFonts w:hint="default"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highlight w:val="none"/>
                <w:lang w:val="en-US" w:eastAsia="zh-CN"/>
              </w:rPr>
              <w:t>/</w:t>
            </w:r>
          </w:p>
        </w:tc>
        <w:tc>
          <w:tcPr>
            <w:tcW w:w="1206" w:type="dxa"/>
            <w:tcMar>
              <w:left w:w="57" w:type="dxa"/>
              <w:right w:w="57" w:type="dxa"/>
            </w:tcMar>
            <w:vAlign w:val="center"/>
          </w:tcPr>
          <w:p>
            <w:pPr>
              <w:spacing w:line="260" w:lineRule="exact"/>
              <w:jc w:val="center"/>
              <w:rPr>
                <w:rFonts w:hint="default" w:ascii="仿宋_GB2312" w:hAnsi="仿宋_GB2312" w:eastAsia="仿宋_GB2312" w:cs="仿宋_GB2312"/>
                <w:szCs w:val="21"/>
                <w:highlight w:val="none"/>
                <w:lang w:val="en-US" w:eastAsia="zh-CN"/>
              </w:rPr>
            </w:pPr>
            <w:r>
              <w:rPr>
                <w:rFonts w:hint="eastAsia" w:ascii="仿宋_GB2312" w:hAnsi="仿宋_GB2312" w:eastAsia="仿宋_GB2312" w:cs="仿宋_GB2312"/>
                <w:szCs w:val="21"/>
                <w:highlight w:val="no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460" w:type="dxa"/>
            <w:tcMar>
              <w:left w:w="57" w:type="dxa"/>
              <w:right w:w="57" w:type="dxa"/>
            </w:tcMar>
            <w:vAlign w:val="center"/>
          </w:tcPr>
          <w:p>
            <w:pPr>
              <w:spacing w:line="260" w:lineRule="exact"/>
              <w:jc w:val="center"/>
              <w:rPr>
                <w:rFonts w:ascii="仿宋_GB2312" w:hAnsi="仿宋_GB2312" w:eastAsia="仿宋_GB2312" w:cs="仿宋_GB2312"/>
                <w:szCs w:val="21"/>
                <w:highlight w:val="none"/>
              </w:rPr>
            </w:pPr>
            <w:r>
              <w:rPr>
                <w:rFonts w:hint="eastAsia" w:ascii="Times New Roman"/>
                <w:snapToGrid w:val="0"/>
                <w:color w:val="000000"/>
                <w:sz w:val="18"/>
                <w:szCs w:val="18"/>
                <w:highlight w:val="none"/>
              </w:rPr>
              <w:t>Broad bean (Vicia faba L.) caused abnormal lipid metabolism in grass carp (Ctenopharyngodon idellus) liver: Insight from the gut microbiota–liver axis</w:t>
            </w:r>
          </w:p>
        </w:tc>
        <w:tc>
          <w:tcPr>
            <w:tcW w:w="915" w:type="dxa"/>
            <w:gridSpan w:val="2"/>
            <w:tcMar>
              <w:left w:w="57" w:type="dxa"/>
              <w:right w:w="57" w:type="dxa"/>
            </w:tcMar>
            <w:vAlign w:val="center"/>
          </w:tcPr>
          <w:p>
            <w:pPr>
              <w:spacing w:line="260" w:lineRule="exact"/>
              <w:jc w:val="center"/>
              <w:rPr>
                <w:rFonts w:ascii="仿宋_GB2312" w:hAnsi="仿宋_GB2312" w:eastAsia="仿宋_GB2312" w:cs="仿宋_GB2312"/>
                <w:szCs w:val="21"/>
                <w:highlight w:val="none"/>
              </w:rPr>
            </w:pPr>
            <w:r>
              <w:rPr>
                <w:rFonts w:hint="eastAsia" w:ascii="Times New Roman"/>
                <w:snapToGrid w:val="0"/>
                <w:color w:val="000000"/>
                <w:sz w:val="18"/>
                <w:szCs w:val="18"/>
                <w:highlight w:val="none"/>
              </w:rPr>
              <w:t>Food Frontiers</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highlight w:val="none"/>
              </w:rPr>
            </w:pPr>
            <w:r>
              <w:rPr>
                <w:rFonts w:hint="eastAsia" w:ascii="Times New Roman"/>
                <w:snapToGrid w:val="0"/>
                <w:color w:val="auto"/>
                <w:sz w:val="18"/>
                <w:szCs w:val="18"/>
                <w:highlight w:val="none"/>
              </w:rPr>
              <w:t>Bing Fu;Huawei Ma;Huici Yang;Mengping Zheng;Junming Zhang;Yichao Li;Yihui Du;Guangjun Wang;Jingjing Tian;Kai Zhang;Yun Xia;Zhifei Li;Wangbao Gong;Hongyan Li;Jun Xie;Huirong Yang</w:t>
            </w:r>
            <w:r>
              <w:rPr>
                <w:rFonts w:hint="eastAsia" w:ascii="Times New Roman"/>
                <w:snapToGrid w:val="0"/>
                <w:color w:val="000000"/>
                <w:sz w:val="18"/>
                <w:szCs w:val="18"/>
                <w:highlight w:val="none"/>
              </w:rPr>
              <w:t>;</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highlight w:val="none"/>
              </w:rPr>
            </w:pPr>
            <w:r>
              <w:rPr>
                <w:rFonts w:hint="eastAsia" w:ascii="Times New Roman"/>
                <w:snapToGrid w:val="0"/>
                <w:color w:val="000000"/>
                <w:sz w:val="18"/>
                <w:szCs w:val="18"/>
                <w:highlight w:val="none"/>
              </w:rPr>
              <w:t>2024</w:t>
            </w:r>
            <w:r>
              <w:rPr>
                <w:rFonts w:hint="eastAsia" w:ascii="Times New Roman"/>
                <w:snapToGrid w:val="0"/>
                <w:color w:val="000000"/>
                <w:sz w:val="18"/>
                <w:szCs w:val="18"/>
                <w:highlight w:val="none"/>
                <w:lang w:val="en-US" w:eastAsia="zh-CN"/>
              </w:rPr>
              <w:t>, 5</w:t>
            </w:r>
            <w:r>
              <w:rPr>
                <w:rFonts w:hint="eastAsia" w:ascii="Times New Roman"/>
                <w:snapToGrid w:val="0"/>
                <w:color w:val="000000"/>
                <w:sz w:val="18"/>
                <w:szCs w:val="18"/>
                <w:highlight w:val="none"/>
                <w:lang w:eastAsia="zh-CN"/>
              </w:rPr>
              <w:t>（</w:t>
            </w:r>
            <w:r>
              <w:rPr>
                <w:rFonts w:hint="eastAsia" w:ascii="Times New Roman"/>
                <w:snapToGrid w:val="0"/>
                <w:color w:val="000000"/>
                <w:sz w:val="18"/>
                <w:szCs w:val="18"/>
                <w:highlight w:val="none"/>
                <w:lang w:val="en-US" w:eastAsia="zh-CN"/>
              </w:rPr>
              <w:t>3</w:t>
            </w:r>
            <w:r>
              <w:rPr>
                <w:rFonts w:hint="eastAsia" w:ascii="Times New Roman"/>
                <w:snapToGrid w:val="0"/>
                <w:color w:val="000000"/>
                <w:sz w:val="18"/>
                <w:szCs w:val="18"/>
                <w:highlight w:val="none"/>
                <w:lang w:eastAsia="zh-CN"/>
              </w:rPr>
              <w:t>）</w:t>
            </w:r>
            <w:r>
              <w:rPr>
                <w:rFonts w:hint="eastAsia" w:ascii="Times New Roman"/>
                <w:snapToGrid w:val="0"/>
                <w:color w:val="000000"/>
                <w:sz w:val="18"/>
                <w:szCs w:val="18"/>
                <w:highlight w:val="none"/>
                <w:lang w:val="en-US" w:eastAsia="zh-CN"/>
              </w:rPr>
              <w:t>:</w:t>
            </w:r>
            <w:r>
              <w:rPr>
                <w:rFonts w:hint="eastAsia" w:ascii="Times New Roman"/>
                <w:snapToGrid w:val="0"/>
                <w:color w:val="000000"/>
                <w:sz w:val="18"/>
                <w:szCs w:val="18"/>
                <w:highlight w:val="none"/>
                <w:lang w:eastAsia="zh-CN"/>
              </w:rPr>
              <w:t>1338-1352</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highlight w:val="none"/>
              </w:rPr>
            </w:pPr>
            <w:r>
              <w:rPr>
                <w:rFonts w:hint="eastAsia" w:ascii="Times New Roman"/>
                <w:snapToGrid w:val="0"/>
                <w:color w:val="000000"/>
                <w:sz w:val="18"/>
                <w:szCs w:val="18"/>
                <w:highlight w:val="none"/>
                <w:lang w:val="en-US" w:eastAsia="zh-CN"/>
              </w:rPr>
              <w:t>2024-1-28</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highlight w:val="none"/>
              </w:rPr>
            </w:pPr>
            <w:r>
              <w:rPr>
                <w:rFonts w:hint="eastAsia" w:ascii="Times New Roman"/>
                <w:snapToGrid w:val="0"/>
                <w:color w:val="000000"/>
                <w:sz w:val="18"/>
                <w:szCs w:val="18"/>
                <w:highlight w:val="none"/>
              </w:rPr>
              <w:t>Ermeng Yu</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highlight w:val="none"/>
              </w:rPr>
            </w:pPr>
            <w:r>
              <w:rPr>
                <w:rFonts w:hint="eastAsia" w:ascii="Times New Roman"/>
                <w:snapToGrid w:val="0"/>
                <w:color w:val="auto"/>
                <w:sz w:val="18"/>
                <w:szCs w:val="18"/>
                <w:highlight w:val="none"/>
              </w:rPr>
              <w:t>Bing Fu</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highlight w:val="none"/>
              </w:rPr>
            </w:pPr>
            <w:bookmarkStart w:id="1" w:name="OLE_LINK37"/>
            <w:bookmarkStart w:id="2" w:name="OLE_LINK32"/>
            <w:r>
              <w:rPr>
                <w:rFonts w:hint="eastAsia" w:ascii="仿宋_GB2312" w:hAnsi="仿宋_GB2312" w:eastAsia="仿宋_GB2312" w:cs="仿宋_GB2312"/>
                <w:szCs w:val="21"/>
                <w:highlight w:val="none"/>
                <w:lang w:val="en-US" w:eastAsia="zh-CN"/>
              </w:rPr>
              <w:t>中国水产科学研究院珠江水产研究所、</w:t>
            </w:r>
            <w:bookmarkEnd w:id="1"/>
            <w:r>
              <w:rPr>
                <w:rFonts w:hint="eastAsia" w:ascii="仿宋_GB2312" w:hAnsi="仿宋_GB2312" w:eastAsia="仿宋_GB2312" w:cs="仿宋_GB2312"/>
                <w:szCs w:val="21"/>
                <w:highlight w:val="none"/>
                <w:lang w:val="en-US" w:eastAsia="zh-CN"/>
              </w:rPr>
              <w:t>广西壮族自治区水产科学研究院</w:t>
            </w:r>
            <w:bookmarkEnd w:id="2"/>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Cs/>
                <w:szCs w:val="21"/>
                <w:highlight w:val="none"/>
                <w:lang w:val="en-US" w:eastAsia="zh-CN"/>
              </w:rPr>
            </w:pPr>
            <w:r>
              <w:rPr>
                <w:rFonts w:hint="eastAsia" w:ascii="仿宋_GB2312" w:hAnsi="仿宋_GB2312" w:eastAsia="仿宋_GB2312" w:cs="仿宋_GB2312"/>
                <w:bCs/>
                <w:szCs w:val="21"/>
                <w:highlight w:val="none"/>
                <w:lang w:val="en-US" w:eastAsia="zh-CN"/>
              </w:rPr>
              <w:t>/</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highlight w:val="none"/>
                <w:lang w:val="en-US" w:eastAsia="zh-CN"/>
              </w:rPr>
            </w:pPr>
            <w:r>
              <w:rPr>
                <w:rFonts w:hint="eastAsia" w:ascii="仿宋_GB2312" w:hAnsi="仿宋_GB2312" w:eastAsia="仿宋_GB2312" w:cs="仿宋_GB2312"/>
                <w:szCs w:val="21"/>
                <w:highlight w:val="no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60" w:type="dxa"/>
            <w:tcMar>
              <w:left w:w="57" w:type="dxa"/>
              <w:right w:w="57" w:type="dxa"/>
            </w:tcMar>
            <w:vAlign w:val="center"/>
          </w:tcPr>
          <w:p>
            <w:pPr>
              <w:adjustRightInd w:val="0"/>
              <w:snapToGrid w:val="0"/>
              <w:spacing w:line="320" w:lineRule="exact"/>
              <w:rPr>
                <w:rFonts w:hint="eastAsia" w:ascii="Times New Roman"/>
                <w:snapToGrid w:val="0"/>
                <w:color w:val="000000"/>
                <w:sz w:val="18"/>
                <w:szCs w:val="18"/>
                <w:highlight w:val="none"/>
              </w:rPr>
            </w:pPr>
            <w:r>
              <w:rPr>
                <w:rFonts w:hint="eastAsia" w:ascii="Times New Roman"/>
                <w:snapToGrid w:val="0"/>
                <w:color w:val="000000"/>
                <w:sz w:val="18"/>
                <w:szCs w:val="18"/>
                <w:highlight w:val="none"/>
              </w:rPr>
              <w:t>Gelatin from specific</w:t>
            </w:r>
            <w:r>
              <w:rPr>
                <w:rFonts w:hint="eastAsia"/>
                <w:snapToGrid w:val="0"/>
                <w:color w:val="000000"/>
                <w:sz w:val="18"/>
                <w:szCs w:val="18"/>
                <w:highlight w:val="none"/>
                <w:lang w:val="en-US" w:eastAsia="zh-CN"/>
              </w:rPr>
              <w:t xml:space="preserve"> </w:t>
            </w:r>
            <w:r>
              <w:rPr>
                <w:rFonts w:hint="eastAsia" w:ascii="Times New Roman"/>
                <w:snapToGrid w:val="0"/>
                <w:color w:val="000000"/>
                <w:sz w:val="18"/>
                <w:szCs w:val="18"/>
                <w:highlight w:val="none"/>
              </w:rPr>
              <w:t xml:space="preserve">freshwater and saltwater fish extracted using six </w:t>
            </w:r>
          </w:p>
          <w:p>
            <w:pPr>
              <w:adjustRightInd w:val="0"/>
              <w:snapToGrid w:val="0"/>
              <w:spacing w:line="320" w:lineRule="exact"/>
              <w:rPr>
                <w:rFonts w:ascii="仿宋_GB2312" w:hAnsi="仿宋_GB2312" w:eastAsia="仿宋_GB2312" w:cs="仿宋_GB2312"/>
                <w:b/>
                <w:bCs/>
                <w:szCs w:val="21"/>
                <w:highlight w:val="none"/>
              </w:rPr>
            </w:pPr>
            <w:r>
              <w:rPr>
                <w:rFonts w:hint="eastAsia" w:ascii="Times New Roman"/>
                <w:snapToGrid w:val="0"/>
                <w:color w:val="000000"/>
                <w:sz w:val="18"/>
                <w:szCs w:val="18"/>
                <w:highlight w:val="none"/>
              </w:rPr>
              <w:t>different methods: Component interactions, structural characteristics, and functional properties</w:t>
            </w:r>
          </w:p>
        </w:tc>
        <w:tc>
          <w:tcPr>
            <w:tcW w:w="915" w:type="dxa"/>
            <w:gridSpan w:val="2"/>
            <w:tcMar>
              <w:left w:w="57" w:type="dxa"/>
              <w:right w:w="57" w:type="dxa"/>
            </w:tcMar>
            <w:vAlign w:val="center"/>
          </w:tcPr>
          <w:p>
            <w:pPr>
              <w:spacing w:line="260" w:lineRule="exact"/>
              <w:jc w:val="center"/>
              <w:rPr>
                <w:rFonts w:ascii="仿宋_GB2312" w:hAnsi="仿宋_GB2312" w:eastAsia="仿宋_GB2312" w:cs="仿宋_GB2312"/>
                <w:b/>
                <w:bCs/>
                <w:szCs w:val="21"/>
                <w:highlight w:val="none"/>
              </w:rPr>
            </w:pPr>
            <w:r>
              <w:rPr>
                <w:rFonts w:hint="eastAsia" w:ascii="Times New Roman"/>
                <w:snapToGrid w:val="0"/>
                <w:color w:val="000000"/>
                <w:sz w:val="18"/>
                <w:szCs w:val="18"/>
                <w:highlight w:val="none"/>
              </w:rPr>
              <w:t>LWT - Food Science and Technology</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highlight w:val="none"/>
              </w:rPr>
            </w:pPr>
            <w:r>
              <w:rPr>
                <w:rFonts w:hint="eastAsia" w:ascii="Times New Roman"/>
                <w:snapToGrid w:val="0"/>
                <w:color w:val="000000"/>
                <w:sz w:val="18"/>
                <w:szCs w:val="18"/>
                <w:highlight w:val="none"/>
              </w:rPr>
              <w:t>Yu</w:t>
            </w:r>
            <w:r>
              <w:rPr>
                <w:rFonts w:hint="eastAsia" w:ascii="Times New Roman"/>
                <w:snapToGrid w:val="0"/>
                <w:color w:val="000000"/>
                <w:sz w:val="18"/>
                <w:szCs w:val="18"/>
                <w:highlight w:val="none"/>
                <w:lang w:val="en-US" w:eastAsia="zh-CN"/>
              </w:rPr>
              <w:t xml:space="preserve"> </w:t>
            </w:r>
            <w:r>
              <w:rPr>
                <w:rFonts w:hint="eastAsia" w:ascii="Times New Roman"/>
                <w:snapToGrid w:val="0"/>
                <w:color w:val="000000"/>
                <w:sz w:val="18"/>
                <w:szCs w:val="18"/>
                <w:highlight w:val="none"/>
              </w:rPr>
              <w:t>Ermeng;Pan Chuanyan;Chen Weijie;</w:t>
            </w:r>
            <w:r>
              <w:rPr>
                <w:rFonts w:hint="eastAsia" w:ascii="Times New Roman"/>
                <w:snapToGrid w:val="0"/>
                <w:color w:val="000000"/>
                <w:sz w:val="18"/>
                <w:szCs w:val="18"/>
                <w:highlight w:val="none"/>
                <w:lang w:val="en-US" w:eastAsia="zh-CN"/>
              </w:rPr>
              <w:t xml:space="preserve"> </w:t>
            </w:r>
            <w:r>
              <w:rPr>
                <w:rFonts w:hint="eastAsia" w:ascii="Times New Roman"/>
                <w:snapToGrid w:val="0"/>
                <w:color w:val="000000"/>
                <w:sz w:val="18"/>
                <w:szCs w:val="18"/>
                <w:highlight w:val="none"/>
              </w:rPr>
              <w:t>Ruan Qiufeng;</w:t>
            </w:r>
            <w:r>
              <w:rPr>
                <w:rFonts w:hint="eastAsia" w:ascii="Times New Roman"/>
                <w:snapToGrid w:val="0"/>
                <w:color w:val="000000"/>
                <w:sz w:val="18"/>
                <w:szCs w:val="18"/>
                <w:highlight w:val="none"/>
                <w:lang w:val="en-US" w:eastAsia="zh-CN"/>
              </w:rPr>
              <w:t xml:space="preserve"> </w:t>
            </w:r>
            <w:r>
              <w:rPr>
                <w:rFonts w:hint="eastAsia" w:ascii="Times New Roman"/>
                <w:snapToGrid w:val="0"/>
                <w:color w:val="000000"/>
                <w:sz w:val="18"/>
                <w:szCs w:val="18"/>
                <w:highlight w:val="none"/>
              </w:rPr>
              <w:t>Luo Xu;Lv Min</w:t>
            </w:r>
            <w:r>
              <w:rPr>
                <w:rFonts w:hint="eastAsia" w:ascii="Times New Roman"/>
                <w:snapToGrid w:val="0"/>
                <w:color w:val="000000"/>
                <w:sz w:val="18"/>
                <w:szCs w:val="18"/>
                <w:highlight w:val="none"/>
                <w:lang w:val="en-US" w:eastAsia="zh-CN"/>
              </w:rPr>
              <w:t xml:space="preserve">; </w:t>
            </w:r>
            <w:r>
              <w:rPr>
                <w:rFonts w:hint="eastAsia" w:ascii="Times New Roman"/>
                <w:snapToGrid w:val="0"/>
                <w:color w:val="000000"/>
                <w:sz w:val="18"/>
                <w:szCs w:val="18"/>
                <w:highlight w:val="none"/>
              </w:rPr>
              <w:t>Fang Yikun;</w:t>
            </w:r>
            <w:bookmarkStart w:id="3" w:name="OLE_LINK30"/>
            <w:r>
              <w:rPr>
                <w:rFonts w:hint="eastAsia" w:ascii="Times New Roman"/>
                <w:snapToGrid w:val="0"/>
                <w:color w:val="000000"/>
                <w:sz w:val="18"/>
                <w:szCs w:val="18"/>
                <w:highlight w:val="none"/>
                <w:lang w:val="en-US" w:eastAsia="zh-CN"/>
              </w:rPr>
              <w:t>Linyuan Jiang</w:t>
            </w:r>
            <w:r>
              <w:rPr>
                <w:rFonts w:hint="eastAsia" w:ascii="Times New Roman"/>
                <w:snapToGrid w:val="0"/>
                <w:color w:val="000000"/>
                <w:sz w:val="18"/>
                <w:szCs w:val="18"/>
                <w:highlight w:val="none"/>
              </w:rPr>
              <w:t>;Ma Huawei</w:t>
            </w:r>
            <w:bookmarkEnd w:id="3"/>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highlight w:val="none"/>
              </w:rPr>
            </w:pPr>
            <w:r>
              <w:rPr>
                <w:rFonts w:hint="eastAsia" w:ascii="Times New Roman"/>
                <w:snapToGrid w:val="0"/>
                <w:color w:val="000000"/>
                <w:sz w:val="18"/>
                <w:szCs w:val="18"/>
                <w:highlight w:val="none"/>
              </w:rPr>
              <w:t>2024</w:t>
            </w:r>
            <w:r>
              <w:rPr>
                <w:rFonts w:hint="eastAsia" w:ascii="Times New Roman"/>
                <w:snapToGrid w:val="0"/>
                <w:color w:val="000000"/>
                <w:sz w:val="18"/>
                <w:szCs w:val="18"/>
                <w:highlight w:val="none"/>
                <w:lang w:val="en-US" w:eastAsia="zh-CN"/>
              </w:rPr>
              <w:t>,</w:t>
            </w:r>
            <w:r>
              <w:rPr>
                <w:rFonts w:hint="eastAsia" w:ascii="Times New Roman"/>
                <w:snapToGrid w:val="0"/>
                <w:color w:val="000000"/>
                <w:sz w:val="18"/>
                <w:szCs w:val="18"/>
                <w:highlight w:val="none"/>
              </w:rPr>
              <w:t>191</w:t>
            </w:r>
            <w:r>
              <w:rPr>
                <w:rFonts w:hint="eastAsia" w:ascii="Times New Roman"/>
                <w:snapToGrid w:val="0"/>
                <w:color w:val="000000"/>
                <w:sz w:val="18"/>
                <w:szCs w:val="18"/>
                <w:highlight w:val="none"/>
                <w:lang w:val="en-US" w:eastAsia="zh-CN"/>
              </w:rPr>
              <w:t>,</w:t>
            </w:r>
            <w:r>
              <w:rPr>
                <w:rFonts w:hint="eastAsia" w:ascii="Times New Roman"/>
                <w:snapToGrid w:val="0"/>
                <w:color w:val="000000"/>
                <w:sz w:val="18"/>
                <w:szCs w:val="18"/>
                <w:highlight w:val="none"/>
              </w:rPr>
              <w:t xml:space="preserve"> 115656</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highlight w:val="none"/>
              </w:rPr>
            </w:pPr>
            <w:r>
              <w:rPr>
                <w:rFonts w:hint="eastAsia" w:ascii="Times New Roman"/>
                <w:snapToGrid w:val="0"/>
                <w:color w:val="000000"/>
                <w:sz w:val="18"/>
                <w:szCs w:val="18"/>
                <w:highlight w:val="none"/>
                <w:lang w:val="en-US" w:eastAsia="zh-CN"/>
              </w:rPr>
              <w:t>2023-10-14</w:t>
            </w:r>
          </w:p>
        </w:tc>
        <w:tc>
          <w:tcPr>
            <w:tcW w:w="1034" w:type="dxa"/>
            <w:tcMar>
              <w:left w:w="57" w:type="dxa"/>
              <w:right w:w="57" w:type="dxa"/>
            </w:tcMar>
            <w:vAlign w:val="center"/>
          </w:tcPr>
          <w:p>
            <w:pPr>
              <w:spacing w:line="260" w:lineRule="exact"/>
              <w:jc w:val="center"/>
              <w:rPr>
                <w:rFonts w:hint="default" w:ascii="仿宋_GB2312" w:hAnsi="仿宋_GB2312" w:eastAsia="仿宋_GB2312" w:cs="仿宋_GB2312"/>
                <w:b/>
                <w:bCs/>
                <w:szCs w:val="21"/>
                <w:highlight w:val="none"/>
                <w:lang w:val="en-US"/>
              </w:rPr>
            </w:pPr>
            <w:r>
              <w:rPr>
                <w:rFonts w:hint="eastAsia" w:ascii="Times New Roman"/>
                <w:snapToGrid w:val="0"/>
                <w:color w:val="000000"/>
                <w:sz w:val="18"/>
                <w:szCs w:val="18"/>
                <w:highlight w:val="none"/>
                <w:lang w:val="en-US" w:eastAsia="zh-CN"/>
              </w:rPr>
              <w:t>Linyuan Jiang</w:t>
            </w:r>
            <w:r>
              <w:rPr>
                <w:rFonts w:hint="eastAsia"/>
                <w:snapToGrid w:val="0"/>
                <w:color w:val="000000"/>
                <w:sz w:val="18"/>
                <w:szCs w:val="18"/>
                <w:highlight w:val="none"/>
                <w:lang w:val="en-US" w:eastAsia="zh-CN"/>
              </w:rPr>
              <w:t>,</w:t>
            </w:r>
            <w:r>
              <w:rPr>
                <w:rFonts w:hint="eastAsia" w:ascii="Times New Roman"/>
                <w:snapToGrid w:val="0"/>
                <w:color w:val="000000"/>
                <w:sz w:val="18"/>
                <w:szCs w:val="18"/>
                <w:highlight w:val="none"/>
              </w:rPr>
              <w:t>Ma Huawei</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highlight w:val="none"/>
              </w:rPr>
            </w:pPr>
            <w:r>
              <w:rPr>
                <w:rFonts w:hint="eastAsia" w:ascii="Times New Roman"/>
                <w:snapToGrid w:val="0"/>
                <w:color w:val="000000"/>
                <w:sz w:val="18"/>
                <w:szCs w:val="18"/>
                <w:highlight w:val="none"/>
              </w:rPr>
              <w:t>Yu</w:t>
            </w:r>
            <w:r>
              <w:rPr>
                <w:rFonts w:hint="eastAsia" w:ascii="Times New Roman"/>
                <w:snapToGrid w:val="0"/>
                <w:color w:val="000000"/>
                <w:sz w:val="18"/>
                <w:szCs w:val="18"/>
                <w:highlight w:val="none"/>
                <w:lang w:val="en-US" w:eastAsia="zh-CN"/>
              </w:rPr>
              <w:t xml:space="preserve"> </w:t>
            </w:r>
            <w:r>
              <w:rPr>
                <w:rFonts w:hint="eastAsia" w:ascii="Times New Roman"/>
                <w:snapToGrid w:val="0"/>
                <w:color w:val="000000"/>
                <w:sz w:val="18"/>
                <w:szCs w:val="18"/>
                <w:highlight w:val="none"/>
              </w:rPr>
              <w:t>Ermeng;Pan Chuanyan;Chen Weijie</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highlight w:val="none"/>
              </w:rPr>
            </w:pPr>
            <w:r>
              <w:rPr>
                <w:rFonts w:hint="eastAsia" w:ascii="仿宋_GB2312" w:hAnsi="仿宋_GB2312" w:eastAsia="仿宋_GB2312" w:cs="仿宋_GB2312"/>
                <w:szCs w:val="21"/>
                <w:highlight w:val="none"/>
                <w:lang w:val="en-US" w:eastAsia="zh-CN"/>
              </w:rPr>
              <w:t>中国水产科学研究院珠江水产研究所、</w:t>
            </w:r>
            <w:bookmarkStart w:id="4" w:name="OLE_LINK39"/>
            <w:r>
              <w:rPr>
                <w:rFonts w:hint="eastAsia" w:ascii="仿宋_GB2312" w:hAnsi="仿宋_GB2312" w:eastAsia="仿宋_GB2312" w:cs="仿宋_GB2312"/>
                <w:szCs w:val="21"/>
                <w:highlight w:val="none"/>
                <w:lang w:val="en-US" w:eastAsia="zh-CN"/>
              </w:rPr>
              <w:t>广西壮族自治区水产科学研究院</w:t>
            </w:r>
            <w:bookmarkEnd w:id="4"/>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b/>
                <w:bCs/>
                <w:szCs w:val="21"/>
                <w:highlight w:val="none"/>
                <w:lang w:val="en-US" w:eastAsia="zh-CN"/>
              </w:rPr>
            </w:pPr>
            <w:r>
              <w:rPr>
                <w:rFonts w:hint="eastAsia" w:ascii="仿宋_GB2312" w:hAnsi="仿宋_GB2312" w:eastAsia="仿宋_GB2312" w:cs="仿宋_GB2312"/>
                <w:bCs/>
                <w:szCs w:val="21"/>
                <w:highlight w:val="none"/>
                <w:lang w:val="en-US" w:eastAsia="zh-CN"/>
              </w:rPr>
              <w:t>/</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
                <w:bCs/>
                <w:szCs w:val="21"/>
                <w:highlight w:val="none"/>
                <w:lang w:val="en-US" w:eastAsia="zh-CN"/>
              </w:rPr>
            </w:pPr>
            <w:r>
              <w:rPr>
                <w:rFonts w:hint="eastAsia" w:ascii="仿宋_GB2312" w:hAnsi="仿宋_GB2312" w:eastAsia="仿宋_GB2312" w:cs="仿宋_GB2312"/>
                <w:b w:val="0"/>
                <w:bCs w:val="0"/>
                <w:szCs w:val="21"/>
                <w:highlight w:val="no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460" w:type="dxa"/>
            <w:tcMar>
              <w:left w:w="57" w:type="dxa"/>
              <w:right w:w="57" w:type="dxa"/>
            </w:tcMar>
            <w:vAlign w:val="center"/>
          </w:tcPr>
          <w:p>
            <w:pPr>
              <w:adjustRightInd w:val="0"/>
              <w:snapToGrid w:val="0"/>
              <w:spacing w:line="320" w:lineRule="exact"/>
              <w:rPr>
                <w:rFonts w:hint="eastAsia" w:ascii="Times New Roman"/>
                <w:snapToGrid w:val="0"/>
                <w:color w:val="000000"/>
                <w:sz w:val="18"/>
                <w:szCs w:val="18"/>
                <w:highlight w:val="none"/>
              </w:rPr>
            </w:pPr>
            <w:r>
              <w:rPr>
                <w:rFonts w:hint="eastAsia" w:ascii="Times New Roman"/>
                <w:snapToGrid w:val="0"/>
                <w:color w:val="000000"/>
                <w:sz w:val="18"/>
                <w:szCs w:val="18"/>
                <w:highlight w:val="none"/>
              </w:rPr>
              <w:t>Exploring the versatility of carbohydrates</w:t>
            </w:r>
          </w:p>
          <w:p>
            <w:pPr>
              <w:adjustRightInd w:val="0"/>
              <w:snapToGrid w:val="0"/>
              <w:spacing w:line="320" w:lineRule="exact"/>
              <w:rPr>
                <w:rFonts w:ascii="仿宋_GB2312" w:hAnsi="仿宋_GB2312" w:eastAsia="仿宋_GB2312" w:cs="仿宋_GB2312"/>
                <w:szCs w:val="21"/>
                <w:highlight w:val="none"/>
              </w:rPr>
            </w:pPr>
            <w:r>
              <w:rPr>
                <w:rFonts w:hint="eastAsia" w:ascii="Times New Roman"/>
                <w:snapToGrid w:val="0"/>
                <w:color w:val="000000"/>
                <w:sz w:val="18"/>
                <w:szCs w:val="18"/>
                <w:highlight w:val="none"/>
              </w:rPr>
              <w:t>in surimi and surimi</w:t>
            </w:r>
            <w:r>
              <w:rPr>
                <w:rFonts w:hint="eastAsia"/>
                <w:snapToGrid w:val="0"/>
                <w:color w:val="000000"/>
                <w:sz w:val="18"/>
                <w:szCs w:val="18"/>
                <w:highlight w:val="none"/>
                <w:lang w:val="en-US" w:eastAsia="zh-CN"/>
              </w:rPr>
              <w:t xml:space="preserve"> </w:t>
            </w:r>
            <w:r>
              <w:rPr>
                <w:rFonts w:hint="eastAsia" w:ascii="Times New Roman"/>
                <w:snapToGrid w:val="0"/>
                <w:color w:val="000000"/>
                <w:sz w:val="18"/>
                <w:szCs w:val="18"/>
                <w:highlight w:val="none"/>
              </w:rPr>
              <w:t>products: novel</w:t>
            </w:r>
            <w:r>
              <w:rPr>
                <w:rFonts w:hint="eastAsia"/>
                <w:snapToGrid w:val="0"/>
                <w:color w:val="000000"/>
                <w:sz w:val="18"/>
                <w:szCs w:val="18"/>
                <w:highlight w:val="none"/>
                <w:lang w:val="en-US" w:eastAsia="zh-CN"/>
              </w:rPr>
              <w:t xml:space="preserve"> </w:t>
            </w:r>
            <w:r>
              <w:rPr>
                <w:rFonts w:hint="eastAsia" w:ascii="Times New Roman"/>
                <w:snapToGrid w:val="0"/>
                <w:color w:val="000000"/>
                <w:sz w:val="18"/>
                <w:szCs w:val="18"/>
                <w:highlight w:val="none"/>
              </w:rPr>
              <w:t>applications and future perspectives</w:t>
            </w:r>
          </w:p>
        </w:tc>
        <w:tc>
          <w:tcPr>
            <w:tcW w:w="915" w:type="dxa"/>
            <w:gridSpan w:val="2"/>
            <w:tcMar>
              <w:left w:w="57" w:type="dxa"/>
              <w:right w:w="57" w:type="dxa"/>
            </w:tcMar>
            <w:vAlign w:val="center"/>
          </w:tcPr>
          <w:p>
            <w:pPr>
              <w:spacing w:line="260" w:lineRule="exact"/>
              <w:jc w:val="center"/>
              <w:rPr>
                <w:rFonts w:ascii="仿宋_GB2312" w:hAnsi="仿宋_GB2312" w:eastAsia="仿宋_GB2312" w:cs="仿宋_GB2312"/>
                <w:szCs w:val="21"/>
                <w:highlight w:val="none"/>
              </w:rPr>
            </w:pPr>
            <w:r>
              <w:rPr>
                <w:rFonts w:hint="eastAsia" w:ascii="Times New Roman"/>
                <w:snapToGrid w:val="0"/>
                <w:color w:val="000000"/>
                <w:sz w:val="18"/>
                <w:szCs w:val="18"/>
                <w:highlight w:val="none"/>
              </w:rPr>
              <w:t>Journal of the science of food and agriculture</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highlight w:val="none"/>
              </w:rPr>
            </w:pPr>
            <w:r>
              <w:rPr>
                <w:rFonts w:hint="eastAsia" w:ascii="Times New Roman"/>
                <w:snapToGrid w:val="0"/>
                <w:color w:val="000000"/>
                <w:sz w:val="18"/>
                <w:szCs w:val="18"/>
                <w:highlight w:val="none"/>
              </w:rPr>
              <w:t>Sijin Zhang;Zhang Liangzi;</w:t>
            </w:r>
            <w:bookmarkStart w:id="5" w:name="OLE_LINK40"/>
            <w:r>
              <w:rPr>
                <w:rFonts w:hint="eastAsia" w:ascii="Times New Roman"/>
                <w:snapToGrid w:val="0"/>
                <w:color w:val="000000"/>
                <w:sz w:val="18"/>
                <w:szCs w:val="18"/>
                <w:highlight w:val="none"/>
              </w:rPr>
              <w:t>Yin Tao</w:t>
            </w:r>
            <w:bookmarkEnd w:id="5"/>
            <w:r>
              <w:rPr>
                <w:rFonts w:hint="eastAsia" w:ascii="Times New Roman"/>
                <w:snapToGrid w:val="0"/>
                <w:color w:val="000000"/>
                <w:sz w:val="18"/>
                <w:szCs w:val="18"/>
                <w:highlight w:val="none"/>
              </w:rPr>
              <w:t>;You Juan;Liu Ru;Wang Lan;Qilin Huang;Wang Weisheng;</w:t>
            </w:r>
            <w:bookmarkStart w:id="6" w:name="OLE_LINK41"/>
            <w:r>
              <w:rPr>
                <w:rFonts w:hint="eastAsia" w:ascii="Times New Roman"/>
                <w:snapToGrid w:val="0"/>
                <w:color w:val="000000"/>
                <w:sz w:val="18"/>
                <w:szCs w:val="18"/>
                <w:highlight w:val="none"/>
              </w:rPr>
              <w:t>Ma Huawei</w:t>
            </w:r>
            <w:bookmarkEnd w:id="6"/>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highlight w:val="none"/>
              </w:rPr>
            </w:pPr>
            <w:r>
              <w:rPr>
                <w:rFonts w:hint="eastAsia" w:ascii="Times New Roman"/>
                <w:snapToGrid w:val="0"/>
                <w:color w:val="000000"/>
                <w:sz w:val="18"/>
                <w:szCs w:val="18"/>
                <w:highlight w:val="none"/>
                <w:lang w:val="en-US" w:eastAsia="zh-CN"/>
              </w:rPr>
              <w:t>2024, 104: 1874–1883</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highlight w:val="none"/>
              </w:rPr>
            </w:pPr>
            <w:r>
              <w:rPr>
                <w:rFonts w:hint="eastAsia" w:ascii="Times New Roman"/>
                <w:snapToGrid w:val="0"/>
                <w:color w:val="000000"/>
                <w:sz w:val="18"/>
                <w:szCs w:val="18"/>
                <w:highlight w:val="none"/>
                <w:lang w:val="en-US" w:eastAsia="zh-CN"/>
              </w:rPr>
              <w:t>2023-10-27</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highlight w:val="none"/>
              </w:rPr>
            </w:pPr>
            <w:r>
              <w:rPr>
                <w:rFonts w:hint="eastAsia" w:ascii="Times New Roman"/>
                <w:snapToGrid w:val="0"/>
                <w:color w:val="000000"/>
                <w:sz w:val="18"/>
                <w:szCs w:val="18"/>
                <w:highlight w:val="none"/>
              </w:rPr>
              <w:t>Yin Tao</w:t>
            </w:r>
            <w:r>
              <w:rPr>
                <w:rFonts w:hint="eastAsia" w:ascii="Times New Roman"/>
                <w:snapToGrid w:val="0"/>
                <w:color w:val="000000"/>
                <w:sz w:val="18"/>
                <w:szCs w:val="18"/>
                <w:highlight w:val="none"/>
                <w:lang w:val="en-US" w:eastAsia="zh-CN"/>
              </w:rPr>
              <w:t xml:space="preserve">; </w:t>
            </w:r>
            <w:r>
              <w:rPr>
                <w:rFonts w:hint="eastAsia" w:ascii="Times New Roman"/>
                <w:snapToGrid w:val="0"/>
                <w:color w:val="000000"/>
                <w:sz w:val="18"/>
                <w:szCs w:val="18"/>
                <w:highlight w:val="none"/>
              </w:rPr>
              <w:t>Ma Huawei</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highlight w:val="none"/>
              </w:rPr>
            </w:pPr>
            <w:r>
              <w:rPr>
                <w:rFonts w:hint="eastAsia" w:ascii="Times New Roman"/>
                <w:snapToGrid w:val="0"/>
                <w:color w:val="000000"/>
                <w:sz w:val="18"/>
                <w:szCs w:val="18"/>
                <w:highlight w:val="none"/>
              </w:rPr>
              <w:t>Sijin Zhang</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highlight w:val="none"/>
              </w:rPr>
            </w:pPr>
            <w:r>
              <w:rPr>
                <w:rFonts w:hint="eastAsia" w:ascii="仿宋_GB2312" w:hAnsi="仿宋_GB2312" w:eastAsia="仿宋_GB2312" w:cs="仿宋_GB2312"/>
                <w:b w:val="0"/>
                <w:bCs w:val="0"/>
                <w:szCs w:val="21"/>
                <w:highlight w:val="none"/>
              </w:rPr>
              <w:t>华中农业大学、广西壮族自治区水产科学研究院</w:t>
            </w:r>
          </w:p>
        </w:tc>
        <w:tc>
          <w:tcPr>
            <w:tcW w:w="834" w:type="dxa"/>
            <w:tcMar>
              <w:left w:w="57" w:type="dxa"/>
              <w:right w:w="57" w:type="dxa"/>
            </w:tcMar>
            <w:vAlign w:val="center"/>
          </w:tcPr>
          <w:p>
            <w:pPr>
              <w:spacing w:line="260" w:lineRule="exact"/>
              <w:jc w:val="center"/>
              <w:rPr>
                <w:rFonts w:hint="default" w:ascii="仿宋_GB2312" w:hAnsi="仿宋_GB2312" w:eastAsia="仿宋_GB2312" w:cs="仿宋_GB2312"/>
                <w:b/>
                <w:bCs/>
                <w:szCs w:val="21"/>
                <w:highlight w:val="none"/>
                <w:lang w:val="en-US" w:eastAsia="zh-CN"/>
              </w:rPr>
            </w:pPr>
            <w:r>
              <w:rPr>
                <w:rFonts w:hint="eastAsia" w:ascii="仿宋_GB2312" w:hAnsi="仿宋_GB2312" w:eastAsia="仿宋_GB2312" w:cs="仿宋_GB2312"/>
                <w:bCs/>
                <w:szCs w:val="21"/>
                <w:highlight w:val="none"/>
                <w:lang w:val="en-US" w:eastAsia="zh-CN"/>
              </w:rPr>
              <w:t>/</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
                <w:bCs/>
                <w:kern w:val="2"/>
                <w:sz w:val="21"/>
                <w:szCs w:val="21"/>
                <w:highlight w:val="none"/>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60" w:type="dxa"/>
            <w:tcMar>
              <w:left w:w="57" w:type="dxa"/>
              <w:right w:w="57" w:type="dxa"/>
            </w:tcMar>
            <w:vAlign w:val="center"/>
          </w:tcPr>
          <w:p>
            <w:pPr>
              <w:spacing w:line="260" w:lineRule="exact"/>
              <w:jc w:val="center"/>
              <w:rPr>
                <w:sz w:val="18"/>
                <w:szCs w:val="18"/>
                <w:highlight w:val="none"/>
              </w:rPr>
            </w:pPr>
            <w:r>
              <w:rPr>
                <w:rFonts w:hint="eastAsia" w:ascii="Times New Roman"/>
                <w:snapToGrid w:val="0"/>
                <w:color w:val="000000"/>
                <w:sz w:val="18"/>
                <w:szCs w:val="18"/>
                <w:highlight w:val="none"/>
              </w:rPr>
              <w:t>Enhancing bighead carp cutting: Chilled storage insights and machine vision-based segmentation algorithm development</w:t>
            </w:r>
          </w:p>
        </w:tc>
        <w:tc>
          <w:tcPr>
            <w:tcW w:w="915" w:type="dxa"/>
            <w:gridSpan w:val="2"/>
            <w:tcMar>
              <w:left w:w="57" w:type="dxa"/>
              <w:right w:w="57" w:type="dxa"/>
            </w:tcMar>
            <w:vAlign w:val="center"/>
          </w:tcPr>
          <w:p>
            <w:pPr>
              <w:spacing w:line="260" w:lineRule="exact"/>
              <w:jc w:val="center"/>
              <w:rPr>
                <w:sz w:val="18"/>
                <w:szCs w:val="18"/>
                <w:highlight w:val="none"/>
              </w:rPr>
            </w:pPr>
            <w:r>
              <w:rPr>
                <w:rFonts w:hint="eastAsia" w:ascii="Times New Roman"/>
                <w:snapToGrid w:val="0"/>
                <w:color w:val="000000"/>
                <w:sz w:val="18"/>
                <w:szCs w:val="18"/>
                <w:highlight w:val="none"/>
              </w:rPr>
              <w:t>Food chemistry</w:t>
            </w:r>
          </w:p>
        </w:tc>
        <w:tc>
          <w:tcPr>
            <w:tcW w:w="1035" w:type="dxa"/>
            <w:tcMar>
              <w:left w:w="57" w:type="dxa"/>
              <w:right w:w="57" w:type="dxa"/>
            </w:tcMar>
            <w:vAlign w:val="center"/>
          </w:tcPr>
          <w:p>
            <w:pPr>
              <w:spacing w:line="260" w:lineRule="exact"/>
              <w:jc w:val="center"/>
              <w:rPr>
                <w:sz w:val="18"/>
                <w:szCs w:val="18"/>
                <w:highlight w:val="none"/>
              </w:rPr>
            </w:pPr>
            <w:r>
              <w:rPr>
                <w:rFonts w:hint="eastAsia" w:ascii="Times New Roman"/>
                <w:snapToGrid w:val="0"/>
                <w:color w:val="000000"/>
                <w:sz w:val="18"/>
                <w:szCs w:val="18"/>
                <w:highlight w:val="none"/>
              </w:rPr>
              <w:t>Qing Li;Xinyi Wen;Shijie Liang;Xiaoyue Sun;Huawei Ma;Yihan Zhang;Yuqing Tan;</w:t>
            </w:r>
          </w:p>
        </w:tc>
        <w:tc>
          <w:tcPr>
            <w:tcW w:w="975" w:type="dxa"/>
            <w:tcMar>
              <w:left w:w="57" w:type="dxa"/>
              <w:right w:w="57" w:type="dxa"/>
            </w:tcMar>
            <w:vAlign w:val="center"/>
          </w:tcPr>
          <w:p>
            <w:pPr>
              <w:spacing w:line="260" w:lineRule="exact"/>
              <w:jc w:val="center"/>
              <w:rPr>
                <w:sz w:val="18"/>
                <w:szCs w:val="18"/>
                <w:highlight w:val="none"/>
              </w:rPr>
            </w:pPr>
            <w:r>
              <w:rPr>
                <w:rFonts w:hint="eastAsia" w:ascii="Times New Roman"/>
                <w:snapToGrid w:val="0"/>
                <w:color w:val="000000"/>
                <w:sz w:val="18"/>
                <w:szCs w:val="18"/>
                <w:highlight w:val="none"/>
                <w:lang w:val="en-US" w:eastAsia="zh-CN"/>
              </w:rPr>
              <w:t xml:space="preserve">2024, </w:t>
            </w:r>
            <w:r>
              <w:rPr>
                <w:rFonts w:hint="eastAsia" w:ascii="Times New Roman"/>
                <w:snapToGrid w:val="0"/>
                <w:color w:val="000000"/>
                <w:sz w:val="18"/>
                <w:szCs w:val="18"/>
                <w:highlight w:val="none"/>
              </w:rPr>
              <w:t>450</w:t>
            </w:r>
            <w:r>
              <w:rPr>
                <w:rFonts w:hint="eastAsia" w:ascii="Times New Roman"/>
                <w:snapToGrid w:val="0"/>
                <w:color w:val="000000"/>
                <w:sz w:val="18"/>
                <w:szCs w:val="18"/>
                <w:highlight w:val="none"/>
                <w:lang w:val="en-US" w:eastAsia="zh-CN"/>
              </w:rPr>
              <w:t xml:space="preserve">: </w:t>
            </w:r>
            <w:r>
              <w:rPr>
                <w:rFonts w:hint="eastAsia" w:ascii="Times New Roman"/>
                <w:snapToGrid w:val="0"/>
                <w:color w:val="000000"/>
                <w:sz w:val="18"/>
                <w:szCs w:val="18"/>
                <w:highlight w:val="none"/>
              </w:rPr>
              <w:t>139280-139280</w:t>
            </w:r>
          </w:p>
        </w:tc>
        <w:tc>
          <w:tcPr>
            <w:tcW w:w="855" w:type="dxa"/>
            <w:tcMar>
              <w:left w:w="57" w:type="dxa"/>
              <w:right w:w="57" w:type="dxa"/>
            </w:tcMar>
            <w:vAlign w:val="center"/>
          </w:tcPr>
          <w:p>
            <w:pPr>
              <w:spacing w:line="260" w:lineRule="exact"/>
              <w:jc w:val="center"/>
              <w:rPr>
                <w:sz w:val="18"/>
                <w:szCs w:val="18"/>
                <w:highlight w:val="none"/>
              </w:rPr>
            </w:pPr>
            <w:r>
              <w:rPr>
                <w:rFonts w:hint="eastAsia" w:ascii="Times New Roman"/>
                <w:snapToGrid w:val="0"/>
                <w:color w:val="000000"/>
                <w:sz w:val="18"/>
                <w:szCs w:val="18"/>
                <w:highlight w:val="none"/>
                <w:lang w:val="en-US" w:eastAsia="zh-CN"/>
              </w:rPr>
              <w:t>2024-4-5</w:t>
            </w:r>
          </w:p>
        </w:tc>
        <w:tc>
          <w:tcPr>
            <w:tcW w:w="1034" w:type="dxa"/>
            <w:tcMar>
              <w:left w:w="57" w:type="dxa"/>
              <w:right w:w="57" w:type="dxa"/>
            </w:tcMar>
            <w:vAlign w:val="center"/>
          </w:tcPr>
          <w:p>
            <w:pPr>
              <w:spacing w:line="260" w:lineRule="exact"/>
              <w:jc w:val="center"/>
              <w:rPr>
                <w:sz w:val="18"/>
                <w:szCs w:val="18"/>
                <w:highlight w:val="none"/>
              </w:rPr>
            </w:pPr>
            <w:r>
              <w:rPr>
                <w:rFonts w:hint="eastAsia" w:ascii="Times New Roman"/>
                <w:snapToGrid w:val="0"/>
                <w:color w:val="000000"/>
                <w:sz w:val="18"/>
                <w:szCs w:val="18"/>
                <w:highlight w:val="none"/>
              </w:rPr>
              <w:t>Hui Hong;Yongkang Luo</w:t>
            </w:r>
          </w:p>
        </w:tc>
        <w:tc>
          <w:tcPr>
            <w:tcW w:w="883" w:type="dxa"/>
            <w:tcMar>
              <w:left w:w="57" w:type="dxa"/>
              <w:right w:w="57" w:type="dxa"/>
            </w:tcMar>
            <w:vAlign w:val="center"/>
          </w:tcPr>
          <w:p>
            <w:pPr>
              <w:spacing w:line="260" w:lineRule="exact"/>
              <w:jc w:val="center"/>
              <w:rPr>
                <w:sz w:val="18"/>
                <w:szCs w:val="18"/>
                <w:highlight w:val="none"/>
              </w:rPr>
            </w:pPr>
            <w:r>
              <w:rPr>
                <w:rFonts w:hint="eastAsia" w:ascii="Times New Roman"/>
                <w:snapToGrid w:val="0"/>
                <w:color w:val="000000"/>
                <w:sz w:val="18"/>
                <w:szCs w:val="18"/>
                <w:highlight w:val="none"/>
              </w:rPr>
              <w:t>Qing Li</w:t>
            </w:r>
          </w:p>
        </w:tc>
        <w:tc>
          <w:tcPr>
            <w:tcW w:w="783" w:type="dxa"/>
            <w:tcMar>
              <w:left w:w="57" w:type="dxa"/>
              <w:right w:w="57" w:type="dxa"/>
            </w:tcMar>
            <w:vAlign w:val="center"/>
          </w:tcPr>
          <w:p>
            <w:pPr>
              <w:spacing w:line="260" w:lineRule="exact"/>
              <w:jc w:val="center"/>
              <w:rPr>
                <w:sz w:val="18"/>
                <w:szCs w:val="18"/>
                <w:highlight w:val="none"/>
              </w:rPr>
            </w:pPr>
            <w:r>
              <w:rPr>
                <w:rFonts w:hint="eastAsia" w:ascii="仿宋_GB2312" w:hAnsi="仿宋_GB2312" w:eastAsia="仿宋_GB2312" w:cs="仿宋_GB2312"/>
                <w:b w:val="0"/>
                <w:bCs w:val="0"/>
                <w:szCs w:val="21"/>
                <w:highlight w:val="none"/>
              </w:rPr>
              <w:t>中国农业大学、广西壮族自治区水产科学研究院</w:t>
            </w:r>
          </w:p>
        </w:tc>
        <w:tc>
          <w:tcPr>
            <w:tcW w:w="834" w:type="dxa"/>
            <w:tcMar>
              <w:left w:w="57" w:type="dxa"/>
              <w:right w:w="57" w:type="dxa"/>
            </w:tcMar>
            <w:vAlign w:val="center"/>
          </w:tcPr>
          <w:p>
            <w:pPr>
              <w:spacing w:line="260" w:lineRule="exact"/>
              <w:jc w:val="center"/>
              <w:rPr>
                <w:rFonts w:hint="default" w:eastAsia="宋体"/>
                <w:sz w:val="18"/>
                <w:szCs w:val="18"/>
                <w:highlight w:val="none"/>
                <w:lang w:val="en-US" w:eastAsia="zh-CN"/>
              </w:rPr>
            </w:pPr>
            <w:r>
              <w:rPr>
                <w:rFonts w:hint="eastAsia" w:ascii="仿宋_GB2312" w:hAnsi="仿宋_GB2312" w:eastAsia="仿宋_GB2312" w:cs="仿宋_GB2312"/>
                <w:bCs/>
                <w:szCs w:val="21"/>
                <w:highlight w:val="none"/>
                <w:lang w:val="en-US" w:eastAsia="zh-CN"/>
              </w:rPr>
              <w:t>/</w:t>
            </w:r>
          </w:p>
        </w:tc>
        <w:tc>
          <w:tcPr>
            <w:tcW w:w="1206" w:type="dxa"/>
            <w:tcMar>
              <w:left w:w="57" w:type="dxa"/>
              <w:right w:w="57" w:type="dxa"/>
            </w:tcMar>
            <w:vAlign w:val="center"/>
          </w:tcPr>
          <w:p>
            <w:pPr>
              <w:spacing w:line="260" w:lineRule="exact"/>
              <w:jc w:val="center"/>
              <w:rPr>
                <w:rFonts w:hint="eastAsia" w:ascii="Times New Roman" w:hAnsi="Times New Roman" w:eastAsia="宋体" w:cs="Times New Roman"/>
                <w:kern w:val="2"/>
                <w:sz w:val="18"/>
                <w:szCs w:val="18"/>
                <w:highlight w:val="none"/>
                <w:lang w:val="en-US" w:eastAsia="zh-CN" w:bidi="ar-SA"/>
              </w:rPr>
            </w:pPr>
            <w:r>
              <w:rPr>
                <w:rFonts w:hint="eastAsia" w:ascii="仿宋_GB2312" w:hAnsi="仿宋_GB2312" w:eastAsia="仿宋_GB2312" w:cs="仿宋_GB2312"/>
                <w:b w:val="0"/>
                <w:bCs w:val="0"/>
                <w:szCs w:val="21"/>
                <w:highlight w:val="no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460" w:type="dxa"/>
            <w:tcMar>
              <w:left w:w="57" w:type="dxa"/>
              <w:right w:w="57" w:type="dxa"/>
            </w:tcMar>
            <w:vAlign w:val="center"/>
          </w:tcPr>
          <w:p>
            <w:pPr>
              <w:spacing w:line="260" w:lineRule="exact"/>
              <w:jc w:val="center"/>
              <w:rPr>
                <w:rFonts w:ascii="仿宋_GB2312" w:hAnsi="仿宋_GB2312" w:eastAsia="仿宋_GB2312" w:cs="仿宋_GB2312"/>
                <w:szCs w:val="21"/>
              </w:rPr>
            </w:pPr>
            <w:bookmarkStart w:id="7" w:name="OLE_LINK57"/>
            <w:r>
              <w:rPr>
                <w:rFonts w:hint="eastAsia" w:ascii="Times New Roman"/>
                <w:snapToGrid w:val="0"/>
                <w:color w:val="auto"/>
                <w:sz w:val="18"/>
                <w:szCs w:val="18"/>
              </w:rPr>
              <w:t>Unraveling the microbial succession during the natural fermentation of grass carp and their correlation with volatile flavor formation</w:t>
            </w:r>
            <w:bookmarkEnd w:id="7"/>
          </w:p>
        </w:tc>
        <w:tc>
          <w:tcPr>
            <w:tcW w:w="915"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imes New Roman"/>
                <w:snapToGrid w:val="0"/>
                <w:color w:val="auto"/>
                <w:sz w:val="18"/>
                <w:szCs w:val="18"/>
              </w:rPr>
              <w:t>Food Research International</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imes New Roman"/>
                <w:snapToGrid w:val="0"/>
                <w:color w:val="auto"/>
                <w:sz w:val="18"/>
                <w:szCs w:val="18"/>
              </w:rPr>
              <w:t xml:space="preserve">Xiao Naiyong, Xu Huiya, Hu Yun, Zhang Yurui, </w:t>
            </w:r>
            <w:bookmarkStart w:id="8" w:name="OLE_LINK58"/>
            <w:r>
              <w:rPr>
                <w:rFonts w:hint="eastAsia" w:ascii="Times New Roman"/>
                <w:snapToGrid w:val="0"/>
                <w:color w:val="auto"/>
                <w:sz w:val="18"/>
                <w:szCs w:val="18"/>
              </w:rPr>
              <w:t>Guo Quanyou, Shi Wenzheng</w:t>
            </w:r>
            <w:bookmarkEnd w:id="8"/>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imes New Roman"/>
                <w:snapToGrid w:val="0"/>
                <w:color w:val="auto"/>
                <w:sz w:val="18"/>
                <w:szCs w:val="18"/>
              </w:rPr>
              <w:t>2023,165</w:t>
            </w:r>
            <w:r>
              <w:rPr>
                <w:rFonts w:hint="eastAsia" w:ascii="Times New Roman"/>
                <w:snapToGrid w:val="0"/>
                <w:color w:val="auto"/>
                <w:sz w:val="18"/>
                <w:szCs w:val="18"/>
                <w:lang w:val="en-US" w:eastAsia="zh-CN"/>
              </w:rPr>
              <w:t>:</w:t>
            </w:r>
            <w:r>
              <w:rPr>
                <w:rFonts w:hint="eastAsia" w:ascii="Times New Roman"/>
                <w:snapToGrid w:val="0"/>
                <w:color w:val="auto"/>
                <w:sz w:val="18"/>
                <w:szCs w:val="18"/>
              </w:rPr>
              <w:t>112556</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imes New Roman"/>
                <w:snapToGrid w:val="0"/>
                <w:color w:val="auto"/>
                <w:sz w:val="18"/>
                <w:szCs w:val="18"/>
                <w:lang w:val="en-US" w:eastAsia="zh-CN"/>
              </w:rPr>
              <w:t>2023-1-29</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imes New Roman"/>
                <w:snapToGrid w:val="0"/>
                <w:color w:val="auto"/>
                <w:sz w:val="18"/>
                <w:szCs w:val="18"/>
              </w:rPr>
              <w:t>Guo Quanyou, Shi Wenzheng</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imes New Roman"/>
                <w:snapToGrid w:val="0"/>
                <w:color w:val="auto"/>
                <w:sz w:val="18"/>
                <w:szCs w:val="18"/>
              </w:rPr>
              <w:t>Xiao Naiyong</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上海海洋大学</w:t>
            </w:r>
          </w:p>
        </w:tc>
        <w:tc>
          <w:tcPr>
            <w:tcW w:w="834"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提名意见：</w:t>
            </w:r>
          </w:p>
          <w:p>
            <w:pPr>
              <w:spacing w:line="2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根据《广西科学技术奖励办法》《广西科学</w:t>
            </w:r>
            <w:r>
              <w:rPr>
                <w:rFonts w:hint="eastAsia" w:ascii="仿宋_GB2312" w:hAnsi="仿宋_GB2312" w:eastAsia="仿宋_GB2312" w:cs="仿宋_GB2312"/>
                <w:bCs/>
                <w:spacing w:val="2"/>
                <w:szCs w:val="21"/>
              </w:rPr>
              <w:t>技术奖励办法实施细则》相关规定，提名该个人、组织为科学技术奖</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u w:val="single"/>
                <w:lang w:eastAsia="zh-CN"/>
              </w:rPr>
              <w:t>一</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rPr>
              <w:t>等 、</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u w:val="single"/>
                <w:lang w:eastAsia="zh-CN"/>
              </w:rPr>
              <w:t>二</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spacing w:line="240" w:lineRule="exact"/>
              <w:rPr>
                <w:rFonts w:ascii="仿宋_GB2312" w:hAnsi="仿宋_GB2312" w:eastAsia="仿宋_GB2312" w:cs="仿宋_GB2312"/>
                <w:szCs w:val="21"/>
              </w:rPr>
            </w:pPr>
            <w:r>
              <w:rPr>
                <w:rFonts w:hint="eastAsia" w:ascii="仿宋_GB2312" w:hAnsi="仿宋_GB2312" w:eastAsia="仿宋_GB2312" w:cs="仿宋_GB2312"/>
                <w:szCs w:val="21"/>
              </w:rPr>
              <w:t>第一候选组织简介（不超过100字）：</w:t>
            </w:r>
          </w:p>
          <w:p>
            <w:pPr>
              <w:pStyle w:val="4"/>
              <w:spacing w:line="240" w:lineRule="exact"/>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广西壮族自治区水产科学研究院属于自治区农业农村厅，为公益性一类事业单位</w:t>
            </w:r>
            <w:r>
              <w:rPr>
                <w:rFonts w:hint="eastAsia" w:ascii="仿宋_GB2312" w:hAnsi="仿宋_GB2312" w:eastAsia="仿宋_GB2312" w:cs="仿宋_GB2312"/>
                <w:sz w:val="21"/>
                <w:szCs w:val="21"/>
                <w:lang w:eastAsia="zh-CN"/>
              </w:rPr>
              <w:t>。主要从事水产良种培育、苗种繁育、水产养殖、渔业资源与环境保护、鱼病防控、渔业工程和动物营养与水产品加工等方面的研究开发。建有农业农村部中国(广西)-东盟水产种质资源综合开发与利用重点实验室、广西水产遗传育种与健康养殖重点实验室、自治区优势特色水产品加工与贮藏工程研究中心等12个省部级研发平台，建有5个研发基地，还建有国家现代农业产业技术体系4个综合试验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spacing w:line="240" w:lineRule="exact"/>
              <w:rPr>
                <w:rFonts w:ascii="仿宋_GB2312" w:hAnsi="仿宋_GB2312" w:eastAsia="仿宋_GB2312" w:cs="仿宋_GB2312"/>
                <w:szCs w:val="21"/>
              </w:rPr>
            </w:pPr>
            <w:r>
              <w:rPr>
                <w:rFonts w:hint="eastAsia" w:ascii="仿宋_GB2312" w:hAnsi="仿宋_GB2312" w:eastAsia="仿宋_GB2312" w:cs="仿宋_GB2312"/>
                <w:szCs w:val="21"/>
              </w:rPr>
              <w:t>成果简介（不超过200字）：</w:t>
            </w:r>
          </w:p>
          <w:p>
            <w:pPr>
              <w:spacing w:line="240" w:lineRule="exact"/>
              <w:rPr>
                <w:rFonts w:hint="eastAsia" w:ascii="仿宋_GB2312" w:hAnsi="仿宋_GB2312" w:eastAsia="仿宋_GB2312" w:cs="仿宋_GB2312"/>
                <w:szCs w:val="21"/>
              </w:rPr>
            </w:pPr>
            <w:r>
              <w:rPr>
                <w:rFonts w:hint="eastAsia" w:ascii="仿宋_GB2312" w:hAnsi="仿宋_GB2312" w:eastAsia="仿宋_GB2312" w:cs="仿宋_GB2312"/>
                <w:szCs w:val="21"/>
              </w:rPr>
              <w:t>针对广西乃至我国重要淡水养殖品种草鱼、罗非鱼和大口黑鲈等预制菜原材料的品质口感不佳、质量安全问题、保鲜效果不好等产业痛点</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广西壮族自治区水产科学研究院</w:t>
            </w:r>
            <w:r>
              <w:rPr>
                <w:rFonts w:hint="eastAsia" w:ascii="仿宋_GB2312" w:hAnsi="仿宋_GB2312" w:eastAsia="仿宋_GB2312" w:cs="仿宋_GB2312"/>
                <w:szCs w:val="21"/>
                <w:lang w:eastAsia="zh-CN"/>
              </w:rPr>
              <w:t>牵头</w:t>
            </w:r>
            <w:r>
              <w:rPr>
                <w:rFonts w:hint="eastAsia" w:ascii="仿宋_GB2312" w:hAnsi="仿宋_GB2312" w:eastAsia="仿宋_GB2312" w:cs="仿宋_GB2312"/>
                <w:szCs w:val="21"/>
              </w:rPr>
              <w:t>联合</w:t>
            </w:r>
            <w:r>
              <w:rPr>
                <w:rFonts w:hint="eastAsia" w:ascii="仿宋_GB2312" w:hAnsi="仿宋_GB2312" w:eastAsia="仿宋_GB2312" w:cs="仿宋_GB2312"/>
                <w:szCs w:val="21"/>
                <w:lang w:eastAsia="zh-CN"/>
              </w:rPr>
              <w:t>广西海洋科学院、</w:t>
            </w:r>
            <w:r>
              <w:rPr>
                <w:rFonts w:hint="eastAsia" w:ascii="仿宋_GB2312" w:hAnsi="仿宋_GB2312" w:eastAsia="仿宋_GB2312" w:cs="仿宋_GB2312"/>
                <w:szCs w:val="21"/>
              </w:rPr>
              <w:t>上海海洋大学</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中国水产科学研究院珠江水产研究所等</w:t>
            </w:r>
            <w:r>
              <w:rPr>
                <w:rFonts w:hint="eastAsia" w:ascii="仿宋_GB2312" w:hAnsi="仿宋_GB2312" w:eastAsia="仿宋_GB2312" w:cs="仿宋_GB2312"/>
                <w:szCs w:val="21"/>
                <w:lang w:eastAsia="zh-CN"/>
              </w:rPr>
              <w:t>国内外多家研究</w:t>
            </w:r>
            <w:r>
              <w:rPr>
                <w:rFonts w:hint="eastAsia" w:ascii="仿宋_GB2312" w:hAnsi="仿宋_GB2312" w:eastAsia="仿宋_GB2312" w:cs="仿宋_GB2312"/>
                <w:szCs w:val="21"/>
              </w:rPr>
              <w:t>单位</w:t>
            </w:r>
            <w:r>
              <w:rPr>
                <w:rFonts w:hint="eastAsia" w:ascii="仿宋_GB2312" w:hAnsi="仿宋_GB2312" w:eastAsia="仿宋_GB2312" w:cs="仿宋_GB2312"/>
                <w:szCs w:val="21"/>
                <w:lang w:eastAsia="zh-CN"/>
              </w:rPr>
              <w:t>和企业开展关键技术科技攻关，</w:t>
            </w:r>
            <w:r>
              <w:rPr>
                <w:rFonts w:hint="eastAsia" w:ascii="仿宋_GB2312" w:hAnsi="仿宋_GB2312" w:eastAsia="仿宋_GB2312" w:cs="仿宋_GB2312"/>
                <w:szCs w:val="21"/>
              </w:rPr>
              <w:t>创制了淡水鱼预制菜品质风味调控技术和产品，创建了淡水鱼预制菜质量安全检测技术和品质分级判定方法，创立了淡水鱼加工流通保鲜技术及高值化产品</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形成了几种重要淡水鱼预制菜品质调控和加工关键技术并集成应用</w:t>
            </w:r>
            <w:r>
              <w:rPr>
                <w:rFonts w:hint="eastAsia" w:ascii="仿宋_GB2312" w:hAnsi="仿宋_GB2312" w:eastAsia="仿宋_GB2312" w:cs="仿宋_GB2312"/>
                <w:szCs w:val="21"/>
                <w:lang w:eastAsia="zh-CN"/>
              </w:rPr>
              <w:t>，取得较好经济和社会效益。</w:t>
            </w:r>
          </w:p>
          <w:p>
            <w:pPr>
              <w:pStyle w:val="4"/>
              <w:spacing w:line="240" w:lineRule="exact"/>
              <w:jc w:val="both"/>
              <w:rPr>
                <w:rFonts w:ascii="仿宋_GB2312" w:hAnsi="仿宋_GB2312" w:eastAsia="仿宋_GB2312" w:cs="仿宋_GB2312"/>
                <w:sz w:val="21"/>
                <w:szCs w:val="21"/>
              </w:rPr>
            </w:pPr>
          </w:p>
        </w:tc>
      </w:tr>
    </w:tbl>
    <w:p>
      <w:pPr>
        <w:pStyle w:val="10"/>
        <w:spacing w:line="240" w:lineRule="exact"/>
        <w:rPr>
          <w:sz w:val="21"/>
          <w:szCs w:val="21"/>
        </w:rPr>
      </w:pPr>
    </w:p>
    <w:p/>
    <w:p/>
    <w:p/>
    <w:p/>
    <w:p/>
    <w:p/>
    <w:p/>
    <w:p/>
    <w:p/>
    <w:p/>
    <w:p/>
    <w:p/>
    <w:p/>
    <w:p/>
    <w:p/>
    <w:p/>
    <w:p/>
    <w:p/>
    <w:p/>
    <w:p/>
    <w:p/>
    <w:p/>
    <w:p/>
    <w:p/>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rFonts w:eastAsia="方正黑体_GBK"/>
                <w:snapToGrid w:val="0"/>
                <w:color w:val="000000"/>
                <w:sz w:val="28"/>
                <w:szCs w:val="28"/>
              </w:rPr>
            </w:pPr>
          </w:p>
          <w:p>
            <w:pPr>
              <w:adjustRightInd w:val="0"/>
              <w:snapToGrid w:val="0"/>
              <w:spacing w:line="406" w:lineRule="exact"/>
              <w:rPr>
                <w:snapToGrid w:val="0"/>
                <w:color w:val="000000"/>
                <w:szCs w:val="21"/>
              </w:rPr>
            </w:pPr>
            <w:r>
              <w:rPr>
                <w:snapToGrid w:val="0"/>
                <w:color w:val="000000"/>
                <w:szCs w:val="21"/>
              </w:rPr>
              <w:t>（候选个人不在同一工作单位的，应填写该说明。</w:t>
            </w:r>
            <w:r>
              <w:rPr>
                <w:b/>
                <w:bCs/>
                <w:snapToGrid w:val="0"/>
                <w:color w:val="000000"/>
                <w:szCs w:val="21"/>
              </w:rPr>
              <w:t>候选个人均为同一单位则不用填写该说明。</w:t>
            </w:r>
            <w:r>
              <w:rPr>
                <w:snapToGrid w:val="0"/>
                <w:color w:val="000000"/>
                <w:szCs w:val="21"/>
              </w:rPr>
              <w:t>）</w:t>
            </w:r>
          </w:p>
          <w:p>
            <w:pPr>
              <w:adjustRightInd w:val="0"/>
              <w:snapToGrid w:val="0"/>
              <w:spacing w:line="406" w:lineRule="exact"/>
              <w:rPr>
                <w:rFonts w:ascii="Times New Roman"/>
                <w:snapToGrid w:val="0"/>
                <w:color w:val="000000"/>
                <w:sz w:val="21"/>
                <w:szCs w:val="21"/>
              </w:rPr>
            </w:pPr>
            <w:r>
              <w:rPr>
                <w:rFonts w:hint="eastAsia" w:ascii="Times New Roman"/>
                <w:b/>
                <w:bCs/>
                <w:snapToGrid w:val="0"/>
                <w:color w:val="000000"/>
                <w:sz w:val="21"/>
                <w:szCs w:val="21"/>
              </w:rPr>
              <w:t>成果名称：</w:t>
            </w:r>
            <w:r>
              <w:rPr>
                <w:rFonts w:hint="eastAsia" w:ascii="Times New Roman"/>
                <w:snapToGrid w:val="0"/>
                <w:color w:val="000000"/>
                <w:sz w:val="21"/>
                <w:szCs w:val="21"/>
              </w:rPr>
              <w:t>几种重要淡水鱼预制菜品质调控和加工关键技术研发与应用</w:t>
            </w:r>
          </w:p>
          <w:p>
            <w:pPr>
              <w:adjustRightInd w:val="0"/>
              <w:snapToGrid w:val="0"/>
              <w:spacing w:line="406" w:lineRule="exact"/>
              <w:rPr>
                <w:rFonts w:hint="eastAsia" w:ascii="Times New Roman"/>
                <w:snapToGrid w:val="0"/>
                <w:color w:val="000000"/>
                <w:sz w:val="21"/>
                <w:szCs w:val="21"/>
              </w:rPr>
            </w:pPr>
            <w:r>
              <w:rPr>
                <w:rFonts w:hint="eastAsia" w:ascii="Times New Roman"/>
                <w:b/>
                <w:bCs/>
                <w:snapToGrid w:val="0"/>
                <w:color w:val="000000"/>
                <w:sz w:val="21"/>
                <w:szCs w:val="21"/>
              </w:rPr>
              <w:t>候选个人：</w:t>
            </w:r>
            <w:r>
              <w:rPr>
                <w:rFonts w:hint="eastAsia" w:ascii="Times New Roman"/>
                <w:snapToGrid w:val="0"/>
                <w:color w:val="000000"/>
                <w:sz w:val="21"/>
                <w:szCs w:val="21"/>
              </w:rPr>
              <w:t>郁二蒙，江林源，马华威，刘利平，谢骏，郭忠宝，李慷，童桂香，施文正，田晶晶</w:t>
            </w:r>
          </w:p>
          <w:p>
            <w:pPr>
              <w:adjustRightInd w:val="0"/>
              <w:snapToGrid w:val="0"/>
              <w:spacing w:line="406" w:lineRule="exact"/>
              <w:ind w:left="1050" w:hanging="1054" w:hangingChars="500"/>
              <w:rPr>
                <w:rFonts w:ascii="Times New Roman"/>
                <w:snapToGrid w:val="0"/>
                <w:color w:val="000000"/>
                <w:sz w:val="21"/>
                <w:szCs w:val="21"/>
              </w:rPr>
            </w:pPr>
            <w:r>
              <w:rPr>
                <w:rFonts w:hint="eastAsia" w:ascii="Times New Roman"/>
                <w:b/>
                <w:bCs/>
                <w:snapToGrid w:val="0"/>
                <w:color w:val="000000"/>
                <w:sz w:val="21"/>
                <w:szCs w:val="21"/>
              </w:rPr>
              <w:t>候选组织：</w:t>
            </w:r>
            <w:r>
              <w:rPr>
                <w:rFonts w:hint="eastAsia" w:ascii="Times New Roman"/>
                <w:snapToGrid w:val="0"/>
                <w:color w:val="000000"/>
                <w:sz w:val="21"/>
                <w:szCs w:val="21"/>
              </w:rPr>
              <w:t>广西壮族自治区水产科学研究院</w:t>
            </w:r>
            <w:r>
              <w:rPr>
                <w:rFonts w:hint="eastAsia" w:ascii="Times New Roman"/>
                <w:snapToGrid w:val="0"/>
                <w:color w:val="000000"/>
                <w:sz w:val="21"/>
                <w:szCs w:val="21"/>
                <w:lang w:eastAsia="zh-CN"/>
              </w:rPr>
              <w:t>（广西壮族自治区渔业病害防治环境监测和质量检验中心、广西壮族自治区水生野生动物救护中心）</w:t>
            </w:r>
            <w:r>
              <w:rPr>
                <w:rFonts w:hint="eastAsia" w:ascii="Times New Roman"/>
                <w:snapToGrid w:val="0"/>
                <w:color w:val="000000"/>
                <w:sz w:val="21"/>
                <w:szCs w:val="21"/>
              </w:rPr>
              <w:t>，广西海洋科学院，上海海洋大学，中国水产科学研究院珠江水产研究所，广西海飞食贸易有限公司，广西金海盈食品有限公司</w:t>
            </w:r>
          </w:p>
          <w:p>
            <w:pPr>
              <w:adjustRightInd w:val="0"/>
              <w:snapToGrid w:val="0"/>
              <w:spacing w:line="406" w:lineRule="exact"/>
              <w:rPr>
                <w:rFonts w:ascii="Times New Roman"/>
                <w:snapToGrid w:val="0"/>
                <w:color w:val="000000"/>
                <w:sz w:val="28"/>
                <w:szCs w:val="28"/>
              </w:rPr>
            </w:pPr>
          </w:p>
          <w:p>
            <w:pPr>
              <w:adjustRightInd w:val="0"/>
              <w:snapToGrid w:val="0"/>
              <w:spacing w:line="406" w:lineRule="exact"/>
              <w:ind w:firstLine="420" w:firstLineChars="200"/>
              <w:rPr>
                <w:rFonts w:ascii="宋体" w:hAnsi="宋体" w:eastAsia="宋体" w:cs="宋体"/>
                <w:snapToGrid w:val="0"/>
                <w:sz w:val="21"/>
                <w:szCs w:val="21"/>
              </w:rPr>
            </w:pPr>
            <w:r>
              <w:rPr>
                <w:rFonts w:hint="eastAsia" w:ascii="Times New Roman"/>
                <w:snapToGrid w:val="0"/>
                <w:sz w:val="21"/>
                <w:szCs w:val="21"/>
              </w:rPr>
              <w:t>围绕国重要淡水养殖品种草鱼、罗非鱼和大口黑鲈等预制菜原材料的产业痛点技术瓶颈</w:t>
            </w:r>
            <w:r>
              <w:rPr>
                <w:rFonts w:hint="eastAsia" w:ascii="Times New Roman"/>
                <w:snapToGrid w:val="0"/>
                <w:sz w:val="21"/>
                <w:szCs w:val="21"/>
                <w:lang w:eastAsia="zh-CN"/>
              </w:rPr>
              <w:t>，</w:t>
            </w:r>
            <w:r>
              <w:rPr>
                <w:rFonts w:hint="eastAsia" w:ascii="Times New Roman"/>
                <w:snapToGrid w:val="0"/>
                <w:sz w:val="21"/>
                <w:szCs w:val="21"/>
              </w:rPr>
              <w:t>广西壮族自治区水产科学研究院与中国水产科学研究院珠江水产研究所、上海海洋大学、百洋产业投资集团股份有限公司、中山市鱼峰饲料有限公司等单位联合攻关，形成了“重要淡水鱼品质提升和加工关键技术研发与应用”研究团队，建立了密切的合作关系。</w:t>
            </w:r>
          </w:p>
          <w:p>
            <w:pPr>
              <w:adjustRightInd w:val="0"/>
              <w:snapToGrid w:val="0"/>
              <w:spacing w:line="406" w:lineRule="exact"/>
              <w:ind w:firstLine="420" w:firstLineChars="200"/>
              <w:rPr>
                <w:rFonts w:ascii="Times New Roman"/>
                <w:snapToGrid w:val="0"/>
                <w:sz w:val="21"/>
                <w:szCs w:val="21"/>
              </w:rPr>
            </w:pPr>
            <w:r>
              <w:rPr>
                <w:rFonts w:hint="eastAsia" w:ascii="Times New Roman"/>
                <w:snapToGrid w:val="0"/>
                <w:sz w:val="21"/>
                <w:szCs w:val="21"/>
              </w:rPr>
              <w:t>候选人</w:t>
            </w:r>
            <w:r>
              <w:rPr>
                <w:rFonts w:hint="eastAsia" w:ascii="Times New Roman"/>
                <w:b/>
                <w:bCs/>
                <w:snapToGrid w:val="0"/>
                <w:sz w:val="21"/>
                <w:szCs w:val="21"/>
              </w:rPr>
              <w:t>郁二蒙</w:t>
            </w:r>
            <w:r>
              <w:rPr>
                <w:rFonts w:hint="eastAsia" w:ascii="Times New Roman"/>
                <w:b w:val="0"/>
                <w:bCs w:val="0"/>
                <w:snapToGrid w:val="0"/>
                <w:sz w:val="21"/>
                <w:szCs w:val="21"/>
                <w:lang w:eastAsia="zh-CN"/>
              </w:rPr>
              <w:t>（</w:t>
            </w:r>
            <w:r>
              <w:rPr>
                <w:rFonts w:hint="eastAsia" w:ascii="Times New Roman" w:cs="Times New Roman"/>
                <w:snapToGrid w:val="0"/>
                <w:sz w:val="21"/>
                <w:szCs w:val="21"/>
                <w:lang w:eastAsia="zh-CN"/>
              </w:rPr>
              <w:t>广西海洋科学院、曾在</w:t>
            </w:r>
            <w:r>
              <w:rPr>
                <w:rFonts w:hint="eastAsia" w:ascii="Times New Roman"/>
                <w:snapToGrid w:val="0"/>
                <w:sz w:val="21"/>
                <w:szCs w:val="21"/>
              </w:rPr>
              <w:t>中国水产科学研究院珠江水产研究所</w:t>
            </w:r>
            <w:r>
              <w:rPr>
                <w:rFonts w:hint="eastAsia" w:ascii="Times New Roman"/>
                <w:snapToGrid w:val="0"/>
                <w:sz w:val="21"/>
                <w:szCs w:val="21"/>
                <w:lang w:eastAsia="zh-CN"/>
              </w:rPr>
              <w:t>工作</w:t>
            </w:r>
            <w:r>
              <w:rPr>
                <w:rFonts w:hint="eastAsia" w:ascii="Times New Roman"/>
                <w:b/>
                <w:bCs/>
                <w:snapToGrid w:val="0"/>
                <w:sz w:val="21"/>
                <w:szCs w:val="21"/>
                <w:lang w:eastAsia="zh-CN"/>
              </w:rPr>
              <w:t>）</w:t>
            </w:r>
            <w:r>
              <w:rPr>
                <w:rFonts w:hint="eastAsia" w:ascii="Times New Roman"/>
                <w:b/>
                <w:bCs/>
                <w:snapToGrid w:val="0"/>
                <w:sz w:val="21"/>
                <w:szCs w:val="21"/>
              </w:rPr>
              <w:t>、谢骏、田晶晶</w:t>
            </w:r>
            <w:r>
              <w:rPr>
                <w:rFonts w:hint="eastAsia" w:ascii="Times New Roman"/>
                <w:snapToGrid w:val="0"/>
                <w:sz w:val="21"/>
                <w:szCs w:val="21"/>
              </w:rPr>
              <w:t>（中国水产科学研究院珠江水产研究所）长期开展淡水鱼肉质脆化的活性物制备技术及配套的脆化饲料，并开展淡水鱼风味品质提升技术和品质分级等技术标准研发，共同</w:t>
            </w:r>
            <w:r>
              <w:rPr>
                <w:rFonts w:hint="eastAsia" w:ascii="Times New Roman"/>
                <w:snapToGrid w:val="0"/>
                <w:sz w:val="21"/>
                <w:szCs w:val="21"/>
                <w:lang w:eastAsia="zh-CN"/>
              </w:rPr>
              <w:t>发表代表性论文</w:t>
            </w:r>
            <w:r>
              <w:rPr>
                <w:rFonts w:hint="eastAsia" w:ascii="Times New Roman"/>
                <w:snapToGrid w:val="0"/>
                <w:sz w:val="21"/>
                <w:szCs w:val="21"/>
                <w:lang w:val="en-US" w:eastAsia="zh-CN"/>
              </w:rPr>
              <w:t>2篇</w:t>
            </w:r>
            <w:r>
              <w:rPr>
                <w:rFonts w:hint="eastAsia" w:ascii="Times New Roman"/>
                <w:snapToGrid w:val="0"/>
                <w:sz w:val="21"/>
                <w:szCs w:val="21"/>
                <w:lang w:eastAsia="zh-CN"/>
              </w:rPr>
              <w:t>：</w:t>
            </w:r>
            <w:r>
              <w:rPr>
                <w:rFonts w:hint="eastAsia" w:ascii="Times New Roman"/>
                <w:snapToGrid w:val="0"/>
                <w:sz w:val="21"/>
                <w:szCs w:val="21"/>
              </w:rPr>
              <w:t>《</w:t>
            </w:r>
            <w:r>
              <w:rPr>
                <w:rFonts w:hint="eastAsia" w:ascii="Times New Roman"/>
                <w:snapToGrid w:val="0"/>
                <w:color w:val="000000"/>
                <w:sz w:val="21"/>
                <w:szCs w:val="21"/>
              </w:rPr>
              <w:t>Microorganism-mediated denitrogenation</w:t>
            </w:r>
            <w:r>
              <w:rPr>
                <w:rFonts w:hint="eastAsia" w:ascii="Times New Roman"/>
                <w:snapToGrid w:val="0"/>
                <w:color w:val="000000"/>
                <w:sz w:val="21"/>
                <w:szCs w:val="21"/>
                <w:lang w:val="en-US" w:eastAsia="zh-CN"/>
              </w:rPr>
              <w:t xml:space="preserve"> </w:t>
            </w:r>
            <w:r>
              <w:rPr>
                <w:rFonts w:hint="eastAsia" w:ascii="Times New Roman"/>
                <w:snapToGrid w:val="0"/>
                <w:color w:val="000000"/>
                <w:sz w:val="21"/>
                <w:szCs w:val="21"/>
              </w:rPr>
              <w:t>of aquaculture systems provoked by poly-</w:t>
            </w:r>
            <w:r>
              <w:rPr>
                <w:rFonts w:hint="default" w:ascii="Times New Roman" w:hAnsi="Times New Roman" w:cs="Times New Roman"/>
                <w:i/>
                <w:iCs/>
                <w:snapToGrid w:val="0"/>
                <w:color w:val="000000"/>
                <w:sz w:val="21"/>
                <w:szCs w:val="21"/>
              </w:rPr>
              <w:t>β</w:t>
            </w:r>
            <w:r>
              <w:rPr>
                <w:rFonts w:hint="eastAsia" w:ascii="Times New Roman"/>
                <w:snapToGrid w:val="0"/>
                <w:color w:val="000000"/>
                <w:sz w:val="21"/>
                <w:szCs w:val="21"/>
              </w:rPr>
              <w:t>-hydroxybutyrate (PHB)</w:t>
            </w:r>
            <w:r>
              <w:rPr>
                <w:rFonts w:hint="eastAsia" w:ascii="Times New Roman"/>
                <w:snapToGrid w:val="0"/>
                <w:sz w:val="21"/>
                <w:szCs w:val="21"/>
              </w:rPr>
              <w:t>》、《</w:t>
            </w:r>
            <w:r>
              <w:rPr>
                <w:rFonts w:hint="eastAsia" w:ascii="Times New Roman" w:cs="Times New Roman"/>
                <w:snapToGrid w:val="0"/>
                <w:color w:val="000000"/>
                <w:sz w:val="21"/>
                <w:szCs w:val="21"/>
              </w:rPr>
              <w:t>Broad bean (Vicia faba L.) caused abnormal lipid metabolism in grass carp (Ctenopharyngodon idellus) liver: Insight from the gut microbiota–liver axis》</w:t>
            </w:r>
            <w:r>
              <w:rPr>
                <w:rFonts w:hint="eastAsia" w:ascii="Times New Roman"/>
                <w:snapToGrid w:val="0"/>
                <w:sz w:val="21"/>
                <w:szCs w:val="21"/>
                <w:lang w:eastAsia="zh-CN"/>
              </w:rPr>
              <w:t>，获得发明代表性成果专利</w:t>
            </w:r>
            <w:r>
              <w:rPr>
                <w:rFonts w:hint="eastAsia" w:ascii="Times New Roman"/>
                <w:snapToGrid w:val="0"/>
                <w:sz w:val="21"/>
                <w:szCs w:val="21"/>
                <w:lang w:val="en-US" w:eastAsia="zh-CN"/>
              </w:rPr>
              <w:t>1件：</w:t>
            </w:r>
            <w:r>
              <w:rPr>
                <w:rFonts w:hint="eastAsia" w:ascii="Times New Roman"/>
                <w:snapToGrid w:val="0"/>
                <w:sz w:val="21"/>
                <w:szCs w:val="21"/>
              </w:rPr>
              <w:t>《</w:t>
            </w:r>
            <w:r>
              <w:rPr>
                <w:rFonts w:hint="eastAsia" w:ascii="方正黑体_GBK" w:eastAsia="方正黑体_GBK"/>
                <w:snapToGrid w:val="0"/>
                <w:color w:val="000000"/>
                <w:sz w:val="21"/>
                <w:szCs w:val="21"/>
              </w:rPr>
              <w:t>一种蚕豆苷的分离纯化方法及其产品和应用</w:t>
            </w:r>
            <w:r>
              <w:rPr>
                <w:rFonts w:hint="eastAsia" w:ascii="Times New Roman"/>
                <w:snapToGrid w:val="0"/>
                <w:sz w:val="21"/>
                <w:szCs w:val="21"/>
              </w:rPr>
              <w:t>》等。</w:t>
            </w:r>
          </w:p>
          <w:p>
            <w:pPr>
              <w:adjustRightInd w:val="0"/>
              <w:snapToGrid w:val="0"/>
              <w:spacing w:line="406" w:lineRule="exact"/>
              <w:ind w:firstLine="420" w:firstLineChars="200"/>
              <w:rPr>
                <w:rFonts w:ascii="Times New Roman"/>
                <w:snapToGrid w:val="0"/>
                <w:sz w:val="21"/>
                <w:szCs w:val="21"/>
              </w:rPr>
            </w:pPr>
            <w:r>
              <w:rPr>
                <w:rFonts w:hint="eastAsia" w:ascii="Times New Roman"/>
                <w:snapToGrid w:val="0"/>
                <w:sz w:val="21"/>
                <w:szCs w:val="21"/>
              </w:rPr>
              <w:t>候选人</w:t>
            </w:r>
            <w:r>
              <w:rPr>
                <w:rFonts w:hint="eastAsia" w:ascii="Times New Roman"/>
                <w:b/>
                <w:bCs/>
                <w:snapToGrid w:val="0"/>
                <w:sz w:val="21"/>
                <w:szCs w:val="21"/>
              </w:rPr>
              <w:t>郁二蒙</w:t>
            </w:r>
            <w:r>
              <w:rPr>
                <w:rFonts w:hint="eastAsia" w:ascii="Times New Roman"/>
                <w:b w:val="0"/>
                <w:bCs w:val="0"/>
                <w:snapToGrid w:val="0"/>
                <w:sz w:val="21"/>
                <w:szCs w:val="21"/>
                <w:lang w:eastAsia="zh-CN"/>
              </w:rPr>
              <w:t>（</w:t>
            </w:r>
            <w:r>
              <w:rPr>
                <w:rFonts w:hint="eastAsia" w:ascii="Times New Roman" w:cs="Times New Roman"/>
                <w:snapToGrid w:val="0"/>
                <w:sz w:val="21"/>
                <w:szCs w:val="21"/>
                <w:lang w:eastAsia="zh-CN"/>
              </w:rPr>
              <w:t>广西海洋科学院、曾在</w:t>
            </w:r>
            <w:r>
              <w:rPr>
                <w:rFonts w:hint="eastAsia" w:ascii="Times New Roman"/>
                <w:snapToGrid w:val="0"/>
                <w:sz w:val="21"/>
                <w:szCs w:val="21"/>
              </w:rPr>
              <w:t>中国水产科学研究院珠江水产研究所</w:t>
            </w:r>
            <w:r>
              <w:rPr>
                <w:rFonts w:hint="eastAsia" w:ascii="Times New Roman"/>
                <w:snapToGrid w:val="0"/>
                <w:sz w:val="21"/>
                <w:szCs w:val="21"/>
                <w:lang w:eastAsia="zh-CN"/>
              </w:rPr>
              <w:t>工作</w:t>
            </w:r>
            <w:r>
              <w:rPr>
                <w:rFonts w:hint="eastAsia" w:ascii="Times New Roman"/>
                <w:b w:val="0"/>
                <w:bCs w:val="0"/>
                <w:snapToGrid w:val="0"/>
                <w:sz w:val="21"/>
                <w:szCs w:val="21"/>
                <w:lang w:eastAsia="zh-CN"/>
              </w:rPr>
              <w:t>）</w:t>
            </w:r>
            <w:r>
              <w:rPr>
                <w:rFonts w:hint="eastAsia" w:ascii="Times New Roman"/>
                <w:b/>
                <w:bCs/>
                <w:snapToGrid w:val="0"/>
                <w:sz w:val="21"/>
                <w:szCs w:val="21"/>
              </w:rPr>
              <w:t>、谢骏、田晶晶</w:t>
            </w:r>
            <w:r>
              <w:rPr>
                <w:rFonts w:hint="eastAsia" w:ascii="Times New Roman"/>
                <w:snapToGrid w:val="0"/>
                <w:sz w:val="21"/>
                <w:szCs w:val="21"/>
              </w:rPr>
              <w:t>（中国水产科学研究院珠江水产研究所）与</w:t>
            </w:r>
            <w:r>
              <w:rPr>
                <w:rFonts w:hint="eastAsia" w:ascii="Times New Roman"/>
                <w:b/>
                <w:bCs/>
                <w:snapToGrid w:val="0"/>
                <w:sz w:val="21"/>
                <w:szCs w:val="21"/>
                <w:lang w:eastAsia="zh-CN"/>
              </w:rPr>
              <w:t>马华威</w:t>
            </w:r>
            <w:r>
              <w:rPr>
                <w:rFonts w:hint="eastAsia" w:ascii="Times New Roman"/>
                <w:snapToGrid w:val="0"/>
                <w:sz w:val="21"/>
                <w:szCs w:val="21"/>
              </w:rPr>
              <w:t>（广西壮族自治区水产科学研究院）</w:t>
            </w:r>
            <w:r>
              <w:rPr>
                <w:rFonts w:hint="eastAsia" w:ascii="Times New Roman"/>
                <w:snapToGrid w:val="0"/>
                <w:sz w:val="21"/>
                <w:szCs w:val="21"/>
                <w:lang w:eastAsia="zh-CN"/>
              </w:rPr>
              <w:t>长期合作</w:t>
            </w:r>
            <w:r>
              <w:rPr>
                <w:rFonts w:hint="eastAsia" w:ascii="Times New Roman"/>
                <w:snapToGrid w:val="0"/>
                <w:sz w:val="21"/>
                <w:szCs w:val="21"/>
              </w:rPr>
              <w:t>研发淡水鱼高效养殖</w:t>
            </w:r>
            <w:r>
              <w:rPr>
                <w:rFonts w:hint="eastAsia" w:ascii="Times New Roman"/>
                <w:snapToGrid w:val="0"/>
                <w:sz w:val="21"/>
                <w:szCs w:val="21"/>
                <w:lang w:eastAsia="zh-CN"/>
              </w:rPr>
              <w:t>和预制菜加工保鲜</w:t>
            </w:r>
            <w:r>
              <w:rPr>
                <w:rFonts w:hint="eastAsia" w:ascii="Times New Roman"/>
                <w:snapToGrid w:val="0"/>
                <w:sz w:val="21"/>
                <w:szCs w:val="21"/>
              </w:rPr>
              <w:t>技术，合作</w:t>
            </w:r>
            <w:r>
              <w:rPr>
                <w:rFonts w:hint="eastAsia" w:ascii="Times New Roman"/>
                <w:snapToGrid w:val="0"/>
                <w:sz w:val="21"/>
                <w:szCs w:val="21"/>
                <w:lang w:eastAsia="zh-CN"/>
              </w:rPr>
              <w:t>发表代表性成果</w:t>
            </w:r>
            <w:r>
              <w:rPr>
                <w:rFonts w:hint="eastAsia" w:ascii="Times New Roman"/>
                <w:snapToGrid w:val="0"/>
                <w:sz w:val="21"/>
                <w:szCs w:val="21"/>
                <w:lang w:val="en-US" w:eastAsia="zh-CN"/>
              </w:rPr>
              <w:t>2篇：《</w:t>
            </w:r>
            <w:r>
              <w:rPr>
                <w:rFonts w:hint="eastAsia" w:ascii="Times New Roman" w:cs="Times New Roman"/>
                <w:snapToGrid w:val="0"/>
                <w:color w:val="000000"/>
                <w:sz w:val="21"/>
                <w:szCs w:val="21"/>
              </w:rPr>
              <w:t>Broad bean (Vicia faba L.) caused abnormal lipid metabolism in grass carp (Ctenopharyngodon idellus) liver: Insight from the gut microbiota–liver axis</w:t>
            </w:r>
            <w:r>
              <w:rPr>
                <w:rFonts w:hint="eastAsia" w:ascii="Times New Roman"/>
                <w:snapToGrid w:val="0"/>
                <w:sz w:val="21"/>
                <w:szCs w:val="21"/>
                <w:lang w:val="en-US" w:eastAsia="zh-CN"/>
              </w:rPr>
              <w:t>》、《Gelatin from specific freshwater and saltwater fish extracted using six different methods: Component interactions, structural characteristics, and functional properties》</w:t>
            </w:r>
            <w:r>
              <w:rPr>
                <w:rFonts w:hint="eastAsia" w:ascii="Times New Roman"/>
                <w:snapToGrid w:val="0"/>
                <w:sz w:val="21"/>
                <w:szCs w:val="21"/>
              </w:rPr>
              <w:t>。</w:t>
            </w:r>
          </w:p>
          <w:p>
            <w:pPr>
              <w:adjustRightInd w:val="0"/>
              <w:snapToGrid w:val="0"/>
              <w:spacing w:line="406" w:lineRule="exact"/>
              <w:ind w:firstLine="420" w:firstLineChars="200"/>
              <w:rPr>
                <w:rFonts w:ascii="Times New Roman"/>
                <w:snapToGrid w:val="0"/>
                <w:sz w:val="21"/>
                <w:szCs w:val="21"/>
              </w:rPr>
            </w:pPr>
            <w:r>
              <w:rPr>
                <w:rFonts w:hint="eastAsia" w:ascii="Times New Roman"/>
                <w:snapToGrid w:val="0"/>
                <w:sz w:val="21"/>
                <w:szCs w:val="21"/>
              </w:rPr>
              <w:t>候选人</w:t>
            </w:r>
            <w:r>
              <w:rPr>
                <w:rFonts w:hint="eastAsia" w:ascii="Times New Roman"/>
                <w:b/>
                <w:bCs/>
                <w:snapToGrid w:val="0"/>
                <w:sz w:val="21"/>
                <w:szCs w:val="21"/>
              </w:rPr>
              <w:t>郁二蒙</w:t>
            </w:r>
            <w:r>
              <w:rPr>
                <w:rFonts w:hint="eastAsia" w:ascii="Times New Roman"/>
                <w:b w:val="0"/>
                <w:bCs w:val="0"/>
                <w:snapToGrid w:val="0"/>
                <w:sz w:val="21"/>
                <w:szCs w:val="21"/>
                <w:lang w:eastAsia="zh-CN"/>
              </w:rPr>
              <w:t>（</w:t>
            </w:r>
            <w:r>
              <w:rPr>
                <w:rFonts w:hint="eastAsia" w:ascii="Times New Roman" w:cs="Times New Roman"/>
                <w:snapToGrid w:val="0"/>
                <w:sz w:val="21"/>
                <w:szCs w:val="21"/>
                <w:lang w:eastAsia="zh-CN"/>
              </w:rPr>
              <w:t>广西海洋科学院、曾在</w:t>
            </w:r>
            <w:r>
              <w:rPr>
                <w:rFonts w:hint="eastAsia" w:ascii="Times New Roman"/>
                <w:snapToGrid w:val="0"/>
                <w:sz w:val="21"/>
                <w:szCs w:val="21"/>
              </w:rPr>
              <w:t>中国水产科学研究院珠江水产研究所</w:t>
            </w:r>
            <w:r>
              <w:rPr>
                <w:rFonts w:hint="eastAsia" w:ascii="Times New Roman"/>
                <w:snapToGrid w:val="0"/>
                <w:sz w:val="21"/>
                <w:szCs w:val="21"/>
                <w:lang w:eastAsia="zh-CN"/>
              </w:rPr>
              <w:t>工作</w:t>
            </w:r>
            <w:r>
              <w:rPr>
                <w:rFonts w:hint="eastAsia" w:ascii="Times New Roman"/>
                <w:b w:val="0"/>
                <w:bCs w:val="0"/>
                <w:snapToGrid w:val="0"/>
                <w:sz w:val="21"/>
                <w:szCs w:val="21"/>
                <w:lang w:eastAsia="zh-CN"/>
              </w:rPr>
              <w:t>）</w:t>
            </w:r>
            <w:r>
              <w:rPr>
                <w:rFonts w:hint="eastAsia" w:ascii="Times New Roman"/>
                <w:b/>
                <w:bCs/>
                <w:snapToGrid w:val="0"/>
                <w:sz w:val="21"/>
                <w:szCs w:val="21"/>
              </w:rPr>
              <w:t>、谢骏、田晶晶</w:t>
            </w:r>
            <w:r>
              <w:rPr>
                <w:rFonts w:hint="eastAsia" w:ascii="Times New Roman"/>
                <w:snapToGrid w:val="0"/>
                <w:sz w:val="21"/>
                <w:szCs w:val="21"/>
              </w:rPr>
              <w:t>（中国水产科学研究院珠江水产研究所）与</w:t>
            </w:r>
            <w:r>
              <w:rPr>
                <w:rFonts w:hint="eastAsia" w:ascii="Times New Roman"/>
                <w:b/>
                <w:bCs/>
                <w:snapToGrid w:val="0"/>
                <w:sz w:val="21"/>
                <w:szCs w:val="21"/>
              </w:rPr>
              <w:t>刘利平</w:t>
            </w:r>
            <w:r>
              <w:rPr>
                <w:rFonts w:hint="eastAsia" w:ascii="Times New Roman"/>
                <w:snapToGrid w:val="0"/>
                <w:sz w:val="21"/>
                <w:szCs w:val="21"/>
              </w:rPr>
              <w:t>（上海海洋大学）长期开展淡水鱼肉质脆化的活性物制备技术合作研究，共同发表论文1篇</w:t>
            </w:r>
            <w:r>
              <w:rPr>
                <w:rFonts w:hint="eastAsia" w:ascii="Times New Roman"/>
                <w:snapToGrid w:val="0"/>
                <w:sz w:val="21"/>
                <w:szCs w:val="21"/>
                <w:lang w:eastAsia="zh-CN"/>
              </w:rPr>
              <w:t>：</w:t>
            </w:r>
            <w:r>
              <w:rPr>
                <w:rFonts w:hint="eastAsia" w:ascii="Times New Roman"/>
                <w:snapToGrid w:val="0"/>
                <w:sz w:val="21"/>
                <w:szCs w:val="21"/>
              </w:rPr>
              <w:t>《蚕豆水提取物及维生素C和E对草鱼肌肉质构、营养成分以及氧化应激的影响》。</w:t>
            </w:r>
          </w:p>
          <w:p>
            <w:pPr>
              <w:adjustRightInd w:val="0"/>
              <w:snapToGrid w:val="0"/>
              <w:spacing w:line="406" w:lineRule="exact"/>
              <w:ind w:firstLine="420" w:firstLineChars="200"/>
              <w:rPr>
                <w:rFonts w:ascii="Times New Roman"/>
                <w:snapToGrid w:val="0"/>
                <w:sz w:val="21"/>
                <w:szCs w:val="21"/>
              </w:rPr>
            </w:pPr>
            <w:r>
              <w:rPr>
                <w:rFonts w:hint="eastAsia" w:ascii="Times New Roman"/>
                <w:snapToGrid w:val="0"/>
                <w:sz w:val="21"/>
                <w:szCs w:val="21"/>
              </w:rPr>
              <w:t>候选人</w:t>
            </w:r>
            <w:r>
              <w:rPr>
                <w:rFonts w:hint="eastAsia" w:ascii="Times New Roman"/>
                <w:b/>
                <w:bCs/>
                <w:snapToGrid w:val="0"/>
                <w:sz w:val="21"/>
                <w:szCs w:val="21"/>
              </w:rPr>
              <w:t>郁二蒙</w:t>
            </w:r>
            <w:r>
              <w:rPr>
                <w:rFonts w:hint="eastAsia" w:ascii="Times New Roman"/>
                <w:snapToGrid w:val="0"/>
                <w:sz w:val="21"/>
                <w:szCs w:val="21"/>
              </w:rPr>
              <w:t>（中国水产科学研究院珠江水产研究所）与</w:t>
            </w:r>
            <w:r>
              <w:rPr>
                <w:rFonts w:hint="eastAsia" w:ascii="Times New Roman"/>
                <w:b/>
                <w:bCs/>
                <w:snapToGrid w:val="0"/>
                <w:sz w:val="21"/>
                <w:szCs w:val="21"/>
              </w:rPr>
              <w:t>马华威</w:t>
            </w:r>
            <w:r>
              <w:rPr>
                <w:rFonts w:hint="eastAsia" w:ascii="Times New Roman"/>
                <w:snapToGrid w:val="0"/>
                <w:sz w:val="21"/>
                <w:szCs w:val="21"/>
              </w:rPr>
              <w:t>（广西壮族自治区水产科学研究院）长期合作罗非鱼加工技术研发，共同获得授权</w:t>
            </w:r>
            <w:r>
              <w:rPr>
                <w:rFonts w:hint="eastAsia" w:ascii="Times New Roman"/>
                <w:snapToGrid w:val="0"/>
                <w:sz w:val="21"/>
                <w:szCs w:val="21"/>
                <w:lang w:eastAsia="zh-CN"/>
              </w:rPr>
              <w:t>代表性成果</w:t>
            </w:r>
            <w:r>
              <w:rPr>
                <w:rFonts w:hint="eastAsia" w:ascii="Times New Roman"/>
                <w:snapToGrid w:val="0"/>
                <w:sz w:val="21"/>
                <w:szCs w:val="21"/>
              </w:rPr>
              <w:t>专利</w:t>
            </w:r>
            <w:r>
              <w:rPr>
                <w:rFonts w:hint="eastAsia" w:ascii="Times New Roman"/>
                <w:snapToGrid w:val="0"/>
                <w:sz w:val="21"/>
                <w:szCs w:val="21"/>
                <w:lang w:val="en-US" w:eastAsia="zh-CN"/>
              </w:rPr>
              <w:t>1</w:t>
            </w:r>
            <w:r>
              <w:rPr>
                <w:rFonts w:hint="eastAsia" w:ascii="Times New Roman"/>
                <w:snapToGrid w:val="0"/>
                <w:sz w:val="21"/>
                <w:szCs w:val="21"/>
              </w:rPr>
              <w:t>件</w:t>
            </w:r>
            <w:r>
              <w:rPr>
                <w:rFonts w:hint="eastAsia" w:ascii="Times New Roman"/>
                <w:snapToGrid w:val="0"/>
                <w:sz w:val="21"/>
                <w:szCs w:val="21"/>
                <w:lang w:eastAsia="zh-CN"/>
              </w:rPr>
              <w:t>：</w:t>
            </w:r>
            <w:r>
              <w:rPr>
                <w:rFonts w:hint="eastAsia" w:ascii="Times New Roman"/>
                <w:snapToGrid w:val="0"/>
                <w:sz w:val="21"/>
                <w:szCs w:val="21"/>
              </w:rPr>
              <w:t>《一种罗非鱼食品加工用腥味</w:t>
            </w:r>
            <w:r>
              <w:rPr>
                <w:rFonts w:hint="eastAsia" w:ascii="Times New Roman"/>
                <w:snapToGrid w:val="0"/>
                <w:sz w:val="21"/>
                <w:szCs w:val="21"/>
                <w:lang w:eastAsia="zh-CN"/>
              </w:rPr>
              <w:t>降</w:t>
            </w:r>
            <w:r>
              <w:rPr>
                <w:rFonts w:hint="eastAsia" w:ascii="Times New Roman"/>
                <w:snapToGrid w:val="0"/>
                <w:sz w:val="21"/>
                <w:szCs w:val="21"/>
              </w:rPr>
              <w:t>解装置》</w:t>
            </w:r>
            <w:r>
              <w:rPr>
                <w:rFonts w:hint="eastAsia" w:ascii="Times New Roman"/>
                <w:snapToGrid w:val="0"/>
                <w:sz w:val="21"/>
                <w:szCs w:val="21"/>
                <w:lang w:eastAsia="zh-CN"/>
              </w:rPr>
              <w:t>，其它知识产权</w:t>
            </w:r>
            <w:r>
              <w:rPr>
                <w:rFonts w:hint="eastAsia" w:ascii="Times New Roman"/>
                <w:snapToGrid w:val="0"/>
                <w:sz w:val="21"/>
                <w:szCs w:val="21"/>
                <w:lang w:val="en-US" w:eastAsia="zh-CN"/>
              </w:rPr>
              <w:t>2件：</w:t>
            </w:r>
            <w:r>
              <w:rPr>
                <w:rFonts w:hint="eastAsia" w:ascii="Times New Roman"/>
                <w:snapToGrid w:val="0"/>
                <w:sz w:val="21"/>
                <w:szCs w:val="21"/>
              </w:rPr>
              <w:t>《一种用于罗非鱼肉保鲜的储存盒》、《一种用于罗非鱼鱼肉鲜度保持储存装置》。</w:t>
            </w:r>
          </w:p>
          <w:p>
            <w:pPr>
              <w:adjustRightInd w:val="0"/>
              <w:snapToGrid w:val="0"/>
              <w:spacing w:line="406" w:lineRule="exact"/>
              <w:ind w:firstLine="420" w:firstLineChars="200"/>
              <w:rPr>
                <w:rFonts w:ascii="Times New Roman"/>
                <w:snapToGrid w:val="0"/>
                <w:sz w:val="21"/>
                <w:szCs w:val="21"/>
              </w:rPr>
            </w:pPr>
            <w:r>
              <w:rPr>
                <w:rFonts w:hint="eastAsia" w:ascii="Times New Roman"/>
                <w:snapToGrid w:val="0"/>
                <w:sz w:val="21"/>
                <w:szCs w:val="21"/>
              </w:rPr>
              <w:t>候选人</w:t>
            </w:r>
            <w:r>
              <w:rPr>
                <w:rFonts w:hint="eastAsia" w:ascii="Times New Roman"/>
                <w:b/>
                <w:bCs/>
                <w:snapToGrid w:val="0"/>
                <w:sz w:val="21"/>
                <w:szCs w:val="21"/>
              </w:rPr>
              <w:t>郁二蒙</w:t>
            </w:r>
            <w:r>
              <w:rPr>
                <w:rFonts w:hint="eastAsia" w:ascii="Times New Roman"/>
                <w:b w:val="0"/>
                <w:bCs w:val="0"/>
                <w:snapToGrid w:val="0"/>
                <w:sz w:val="21"/>
                <w:szCs w:val="21"/>
                <w:lang w:eastAsia="zh-CN"/>
              </w:rPr>
              <w:t>（</w:t>
            </w:r>
            <w:r>
              <w:rPr>
                <w:rFonts w:hint="eastAsia" w:ascii="Times New Roman" w:cs="Times New Roman"/>
                <w:snapToGrid w:val="0"/>
                <w:sz w:val="21"/>
                <w:szCs w:val="21"/>
                <w:lang w:eastAsia="zh-CN"/>
              </w:rPr>
              <w:t>广西海洋科学院、曾在</w:t>
            </w:r>
            <w:r>
              <w:rPr>
                <w:rFonts w:hint="eastAsia" w:ascii="Times New Roman"/>
                <w:snapToGrid w:val="0"/>
                <w:sz w:val="21"/>
                <w:szCs w:val="21"/>
              </w:rPr>
              <w:t>中国水产科学研究院珠江水产研究所</w:t>
            </w:r>
            <w:r>
              <w:rPr>
                <w:rFonts w:hint="eastAsia" w:ascii="Times New Roman"/>
                <w:snapToGrid w:val="0"/>
                <w:sz w:val="21"/>
                <w:szCs w:val="21"/>
                <w:lang w:eastAsia="zh-CN"/>
              </w:rPr>
              <w:t>工作</w:t>
            </w:r>
            <w:r>
              <w:rPr>
                <w:rFonts w:hint="eastAsia" w:ascii="Times New Roman"/>
                <w:b w:val="0"/>
                <w:bCs w:val="0"/>
                <w:snapToGrid w:val="0"/>
                <w:sz w:val="21"/>
                <w:szCs w:val="21"/>
                <w:lang w:eastAsia="zh-CN"/>
              </w:rPr>
              <w:t>）与</w:t>
            </w:r>
            <w:r>
              <w:rPr>
                <w:rFonts w:hint="eastAsia" w:ascii="Times New Roman"/>
                <w:b/>
                <w:bCs/>
                <w:snapToGrid w:val="0"/>
                <w:sz w:val="21"/>
                <w:szCs w:val="21"/>
              </w:rPr>
              <w:t>江林源、马华威</w:t>
            </w:r>
            <w:r>
              <w:rPr>
                <w:rFonts w:hint="eastAsia" w:ascii="Times New Roman"/>
                <w:snapToGrid w:val="0"/>
                <w:sz w:val="21"/>
                <w:szCs w:val="21"/>
              </w:rPr>
              <w:t>（广西壮族自治区水产科学研究院）共同研发淡水鱼水产品物流运输技术，合作</w:t>
            </w:r>
            <w:r>
              <w:rPr>
                <w:rFonts w:hint="eastAsia" w:ascii="Times New Roman"/>
                <w:snapToGrid w:val="0"/>
                <w:sz w:val="21"/>
                <w:szCs w:val="21"/>
                <w:lang w:eastAsia="zh-CN"/>
              </w:rPr>
              <w:t>发表代表性成果</w:t>
            </w:r>
            <w:r>
              <w:rPr>
                <w:rFonts w:hint="eastAsia" w:ascii="Times New Roman"/>
                <w:snapToGrid w:val="0"/>
                <w:sz w:val="21"/>
                <w:szCs w:val="21"/>
                <w:lang w:val="en-US" w:eastAsia="zh-CN"/>
              </w:rPr>
              <w:t>1篇：《Gelatin from specific freshwater and saltwater fish extracted using six different methods: Component interactions, structural characteristics, and functional properties》，</w:t>
            </w:r>
            <w:r>
              <w:rPr>
                <w:rFonts w:hint="eastAsia" w:ascii="Times New Roman"/>
                <w:snapToGrid w:val="0"/>
                <w:sz w:val="21"/>
                <w:szCs w:val="21"/>
              </w:rPr>
              <w:t>共同获得授权专利1件《水产品物流智能运输监控系统V1.0》。</w:t>
            </w:r>
          </w:p>
          <w:p>
            <w:pPr>
              <w:adjustRightInd w:val="0"/>
              <w:snapToGrid w:val="0"/>
              <w:spacing w:line="406" w:lineRule="exact"/>
              <w:ind w:firstLine="420" w:firstLineChars="200"/>
              <w:rPr>
                <w:rFonts w:ascii="Times New Roman"/>
                <w:snapToGrid w:val="0"/>
                <w:sz w:val="21"/>
                <w:szCs w:val="21"/>
              </w:rPr>
            </w:pPr>
            <w:r>
              <w:rPr>
                <w:rFonts w:hint="eastAsia" w:ascii="Times New Roman"/>
                <w:snapToGrid w:val="0"/>
                <w:sz w:val="21"/>
                <w:szCs w:val="21"/>
              </w:rPr>
              <w:t>候选人</w:t>
            </w:r>
            <w:r>
              <w:rPr>
                <w:rFonts w:hint="eastAsia" w:ascii="Times New Roman"/>
                <w:b/>
                <w:bCs/>
                <w:snapToGrid w:val="0"/>
                <w:sz w:val="21"/>
                <w:szCs w:val="21"/>
              </w:rPr>
              <w:t>江林源、马华威、郭忠宝、童桂香</w:t>
            </w:r>
            <w:r>
              <w:rPr>
                <w:rFonts w:hint="eastAsia" w:ascii="Times New Roman"/>
                <w:snapToGrid w:val="0"/>
                <w:sz w:val="21"/>
                <w:szCs w:val="21"/>
              </w:rPr>
              <w:t>（广西壮族自治区水产科学研究院）是农业农村部中国(广西)-东盟水产种质资源综合开发与利用重点实验室(部省共建)、广西壮族自治区渔业病害防治环境监测和质量检验中心的技术骨干，长期开展</w:t>
            </w:r>
            <w:r>
              <w:rPr>
                <w:rFonts w:hint="eastAsia" w:ascii="Times New Roman"/>
                <w:snapToGrid w:val="0"/>
                <w:sz w:val="21"/>
                <w:szCs w:val="21"/>
                <w:lang w:eastAsia="zh-CN"/>
              </w:rPr>
              <w:t>淡水鱼</w:t>
            </w:r>
            <w:r>
              <w:rPr>
                <w:rFonts w:hint="eastAsia" w:ascii="Times New Roman"/>
                <w:snapToGrid w:val="0"/>
                <w:sz w:val="21"/>
                <w:szCs w:val="21"/>
              </w:rPr>
              <w:t>品质提升和</w:t>
            </w:r>
            <w:r>
              <w:rPr>
                <w:rFonts w:hint="eastAsia" w:ascii="Times New Roman"/>
                <w:snapToGrid w:val="0"/>
                <w:sz w:val="21"/>
                <w:szCs w:val="21"/>
                <w:lang w:eastAsia="zh-CN"/>
              </w:rPr>
              <w:t>预制菜</w:t>
            </w:r>
            <w:r>
              <w:rPr>
                <w:rFonts w:hint="eastAsia" w:ascii="Times New Roman"/>
                <w:snapToGrid w:val="0"/>
                <w:sz w:val="21"/>
                <w:szCs w:val="21"/>
              </w:rPr>
              <w:t>加工关键技术研发与应用。</w:t>
            </w:r>
          </w:p>
          <w:p>
            <w:pPr>
              <w:adjustRightInd w:val="0"/>
              <w:snapToGrid w:val="0"/>
              <w:spacing w:line="406" w:lineRule="exact"/>
              <w:ind w:firstLine="420" w:firstLineChars="200"/>
              <w:rPr>
                <w:rFonts w:ascii="Times New Roman"/>
                <w:snapToGrid w:val="0"/>
                <w:color w:val="000000"/>
                <w:sz w:val="28"/>
                <w:szCs w:val="28"/>
              </w:rPr>
            </w:pPr>
            <w:r>
              <w:rPr>
                <w:rFonts w:hint="eastAsia" w:ascii="Times New Roman"/>
                <w:snapToGrid w:val="0"/>
                <w:sz w:val="21"/>
                <w:szCs w:val="21"/>
              </w:rPr>
              <w:t>候选人</w:t>
            </w:r>
            <w:r>
              <w:rPr>
                <w:rFonts w:hint="eastAsia" w:ascii="Times New Roman"/>
                <w:b/>
                <w:bCs/>
                <w:snapToGrid w:val="0"/>
                <w:sz w:val="21"/>
                <w:szCs w:val="21"/>
              </w:rPr>
              <w:t>刘利平、李慷</w:t>
            </w:r>
            <w:r>
              <w:rPr>
                <w:rFonts w:hint="eastAsia" w:ascii="Times New Roman"/>
                <w:b/>
                <w:bCs/>
                <w:snapToGrid w:val="0"/>
                <w:sz w:val="21"/>
                <w:szCs w:val="21"/>
                <w:lang w:eastAsia="zh-CN"/>
              </w:rPr>
              <w:t>、施文正</w:t>
            </w:r>
            <w:r>
              <w:rPr>
                <w:rFonts w:hint="eastAsia" w:ascii="Times New Roman"/>
                <w:snapToGrid w:val="0"/>
                <w:sz w:val="21"/>
                <w:szCs w:val="21"/>
              </w:rPr>
              <w:t>（上海海洋大学）是上海海洋大学淡水鱼生态养殖与品质提升关键技术研发团队核心成员，长期开展淡水鱼品质提升</w:t>
            </w:r>
            <w:r>
              <w:rPr>
                <w:rFonts w:hint="eastAsia" w:ascii="Times New Roman"/>
                <w:snapToGrid w:val="0"/>
                <w:sz w:val="21"/>
                <w:szCs w:val="21"/>
                <w:lang w:eastAsia="zh-CN"/>
              </w:rPr>
              <w:t>和加工</w:t>
            </w:r>
            <w:r>
              <w:rPr>
                <w:rFonts w:hint="eastAsia" w:ascii="Times New Roman"/>
                <w:snapToGrid w:val="0"/>
                <w:sz w:val="21"/>
                <w:szCs w:val="21"/>
              </w:rPr>
              <w:t>关键技术研发与应用。</w:t>
            </w:r>
          </w:p>
          <w:p>
            <w:pPr>
              <w:adjustRightInd w:val="0"/>
              <w:snapToGrid w:val="0"/>
              <w:spacing w:line="406" w:lineRule="exact"/>
              <w:ind w:firstLine="422" w:firstLineChars="200"/>
              <w:rPr>
                <w:rFonts w:ascii="Times New Roman"/>
                <w:b/>
                <w:bCs/>
                <w:snapToGrid w:val="0"/>
                <w:color w:val="000000"/>
                <w:sz w:val="21"/>
                <w:szCs w:val="21"/>
              </w:rPr>
            </w:pPr>
            <w:r>
              <w:rPr>
                <w:rFonts w:hint="eastAsia" w:ascii="Times New Roman"/>
                <w:b/>
                <w:bCs/>
                <w:snapToGrid w:val="0"/>
                <w:color w:val="000000"/>
                <w:sz w:val="21"/>
                <w:szCs w:val="21"/>
              </w:rPr>
              <w:t>以上合作关系情况详见附表。</w:t>
            </w:r>
          </w:p>
          <w:p>
            <w:pPr>
              <w:adjustRightInd w:val="0"/>
              <w:snapToGrid w:val="0"/>
              <w:spacing w:line="406" w:lineRule="exact"/>
              <w:ind w:firstLine="422" w:firstLineChars="200"/>
              <w:rPr>
                <w:rFonts w:ascii="Times New Roman"/>
                <w:b/>
                <w:bCs/>
                <w:snapToGrid w:val="0"/>
                <w:color w:val="000000"/>
                <w:sz w:val="21"/>
                <w:szCs w:val="21"/>
              </w:rPr>
            </w:pPr>
            <w:r>
              <w:rPr>
                <w:rFonts w:hint="eastAsia" w:ascii="Times New Roman"/>
                <w:b/>
                <w:bCs/>
                <w:snapToGrid w:val="0"/>
                <w:color w:val="000000"/>
                <w:sz w:val="21"/>
                <w:szCs w:val="21"/>
              </w:rPr>
              <w:t>承诺：本人作为第一候选个人，对本成果候选个人合作关系及上述内容的真实性负责，特此声明。</w:t>
            </w:r>
          </w:p>
          <w:p>
            <w:pPr>
              <w:adjustRightInd w:val="0"/>
              <w:snapToGrid w:val="0"/>
              <w:spacing w:line="406" w:lineRule="exact"/>
              <w:rPr>
                <w:rFonts w:ascii="Times New Roman"/>
                <w:b/>
                <w:bCs/>
                <w:snapToGrid w:val="0"/>
                <w:color w:val="000000"/>
                <w:sz w:val="21"/>
                <w:szCs w:val="21"/>
              </w:rPr>
            </w:pPr>
          </w:p>
          <w:p>
            <w:r>
              <w:rPr>
                <w:rFonts w:hint="eastAsia" w:ascii="Times New Roman"/>
                <w:b/>
                <w:bCs/>
                <w:snapToGrid w:val="0"/>
                <w:color w:val="000000"/>
                <w:sz w:val="21"/>
                <w:szCs w:val="21"/>
              </w:rPr>
              <w:t xml:space="preserve">                                           第一候选个人签名：</w:t>
            </w:r>
            <w:r>
              <w:drawing>
                <wp:inline distT="0" distB="0" distL="114300" distR="114300">
                  <wp:extent cx="968375" cy="508000"/>
                  <wp:effectExtent l="0" t="0" r="3175" b="6350"/>
                  <wp:docPr id="1" name="图片 1" descr="文本&#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本&#10;&#10;中度可信度描述已自动生成"/>
                          <pic:cNvPicPr>
                            <a:picLocks noChangeAspect="1"/>
                          </pic:cNvPicPr>
                        </pic:nvPicPr>
                        <pic:blipFill>
                          <a:blip r:embed="rId4"/>
                          <a:stretch>
                            <a:fillRect/>
                          </a:stretch>
                        </pic:blipFill>
                        <pic:spPr>
                          <a:xfrm>
                            <a:off x="0" y="0"/>
                            <a:ext cx="968375" cy="508000"/>
                          </a:xfrm>
                          <a:prstGeom prst="rect">
                            <a:avLst/>
                          </a:prstGeom>
                          <a:noFill/>
                          <a:ln>
                            <a:noFill/>
                          </a:ln>
                        </pic:spPr>
                      </pic:pic>
                    </a:graphicData>
                  </a:graphic>
                </wp:inline>
              </w:drawing>
            </w:r>
          </w:p>
          <w:p>
            <w:pPr>
              <w:adjustRightInd w:val="0"/>
              <w:snapToGrid w:val="0"/>
              <w:spacing w:line="406" w:lineRule="exact"/>
              <w:ind w:firstLine="422" w:firstLineChars="200"/>
              <w:jc w:val="center"/>
              <w:rPr>
                <w:rFonts w:eastAsia="方正黑体_GBK"/>
                <w:snapToGrid w:val="0"/>
                <w:color w:val="000000"/>
                <w:sz w:val="28"/>
                <w:szCs w:val="28"/>
              </w:rPr>
            </w:pPr>
            <w:r>
              <w:rPr>
                <w:rFonts w:hint="eastAsia" w:ascii="Times New Roman"/>
                <w:b/>
                <w:bCs/>
                <w:snapToGrid w:val="0"/>
                <w:color w:val="000000"/>
                <w:sz w:val="21"/>
                <w:szCs w:val="21"/>
              </w:rPr>
              <w:t xml:space="preserve">            </w:t>
            </w:r>
            <w:r>
              <w:rPr>
                <w:rFonts w:hint="eastAsia"/>
                <w:b/>
                <w:bCs/>
                <w:snapToGrid w:val="0"/>
                <w:color w:val="000000"/>
                <w:sz w:val="21"/>
                <w:szCs w:val="21"/>
                <w:lang w:val="en-US" w:eastAsia="zh-CN"/>
              </w:rPr>
              <w:t xml:space="preserve">                                  </w:t>
            </w:r>
            <w:r>
              <w:rPr>
                <w:rFonts w:hint="eastAsia" w:ascii="Times New Roman"/>
                <w:b/>
                <w:bCs/>
                <w:snapToGrid w:val="0"/>
                <w:color w:val="000000"/>
                <w:sz w:val="21"/>
                <w:szCs w:val="21"/>
              </w:rPr>
              <w:t>202</w:t>
            </w:r>
            <w:r>
              <w:rPr>
                <w:rFonts w:hint="eastAsia"/>
                <w:b/>
                <w:bCs/>
                <w:snapToGrid w:val="0"/>
                <w:color w:val="000000"/>
                <w:sz w:val="21"/>
                <w:szCs w:val="21"/>
                <w:lang w:val="en-US" w:eastAsia="zh-CN"/>
              </w:rPr>
              <w:t>4</w:t>
            </w:r>
            <w:r>
              <w:rPr>
                <w:rFonts w:hint="eastAsia" w:ascii="Times New Roman"/>
                <w:b/>
                <w:bCs/>
                <w:snapToGrid w:val="0"/>
                <w:color w:val="000000"/>
                <w:sz w:val="21"/>
                <w:szCs w:val="21"/>
              </w:rPr>
              <w:t>年</w:t>
            </w:r>
            <w:r>
              <w:rPr>
                <w:rFonts w:hint="eastAsia"/>
                <w:b/>
                <w:bCs/>
                <w:snapToGrid w:val="0"/>
                <w:color w:val="000000"/>
                <w:sz w:val="21"/>
                <w:szCs w:val="21"/>
                <w:lang w:val="en-US" w:eastAsia="zh-CN"/>
              </w:rPr>
              <w:t>6</w:t>
            </w:r>
            <w:r>
              <w:rPr>
                <w:rFonts w:hint="eastAsia" w:ascii="Times New Roman"/>
                <w:b/>
                <w:bCs/>
                <w:snapToGrid w:val="0"/>
                <w:color w:val="000000"/>
                <w:sz w:val="21"/>
                <w:szCs w:val="21"/>
              </w:rPr>
              <w:t>月10日</w:t>
            </w: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1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9"/>
        <w:gridCol w:w="1251"/>
        <w:gridCol w:w="1180"/>
        <w:gridCol w:w="1120"/>
        <w:gridCol w:w="3030"/>
        <w:gridCol w:w="1070"/>
        <w:gridCol w:w="8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25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12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303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86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lang w:val="en-US" w:eastAsia="zh-CN"/>
              </w:rPr>
            </w:pPr>
            <w:r>
              <w:rPr>
                <w:rFonts w:hint="default" w:ascii="Times New Roman" w:hAnsi="Times New Roman" w:eastAsia="仿宋" w:cs="Times New Roman"/>
                <w:snapToGrid w:val="0"/>
                <w:color w:val="000000"/>
                <w:sz w:val="18"/>
                <w:szCs w:val="18"/>
                <w:lang w:val="en-US" w:eastAsia="zh-CN"/>
              </w:rPr>
              <w:t>1</w:t>
            </w:r>
          </w:p>
        </w:tc>
        <w:tc>
          <w:tcPr>
            <w:tcW w:w="125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lang w:eastAsia="zh-CN"/>
              </w:rPr>
            </w:pPr>
            <w:r>
              <w:rPr>
                <w:rFonts w:hint="default" w:ascii="Times New Roman" w:hAnsi="Times New Roman" w:cs="Times New Roman" w:eastAsiaTheme="minorEastAsia"/>
                <w:snapToGrid w:val="0"/>
                <w:color w:val="000000"/>
                <w:sz w:val="18"/>
                <w:szCs w:val="18"/>
              </w:rPr>
              <w:t>论文合著</w:t>
            </w:r>
          </w:p>
        </w:tc>
        <w:tc>
          <w:tcPr>
            <w:tcW w:w="11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lang w:eastAsia="zh-CN"/>
              </w:rPr>
            </w:pPr>
            <w:r>
              <w:rPr>
                <w:rFonts w:hint="default" w:ascii="Times New Roman" w:hAnsi="Times New Roman" w:cs="Times New Roman" w:eastAsiaTheme="minorEastAsia"/>
                <w:snapToGrid w:val="0"/>
                <w:color w:val="000000"/>
                <w:sz w:val="18"/>
                <w:szCs w:val="18"/>
                <w:lang w:eastAsia="zh-CN"/>
              </w:rPr>
              <w:t>郁二蒙、马华威、江林源</w:t>
            </w:r>
          </w:p>
        </w:tc>
        <w:tc>
          <w:tcPr>
            <w:tcW w:w="112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lang w:val="en-US" w:eastAsia="zh-CN"/>
              </w:rPr>
              <w:t>2022年至今</w:t>
            </w:r>
          </w:p>
        </w:tc>
        <w:tc>
          <w:tcPr>
            <w:tcW w:w="303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sz w:val="18"/>
                <w:szCs w:val="18"/>
                <w:lang w:val="en-US" w:eastAsia="zh-CN"/>
              </w:rPr>
              <w:t>Gelatin from specific freshwater and saltwater fish extracted using six different methods: Component interactions, structural characteristics, and functional properties</w:t>
            </w:r>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lang w:val="en-US" w:eastAsia="zh-CN"/>
              </w:rPr>
            </w:pPr>
            <w:r>
              <w:rPr>
                <w:rFonts w:hint="default" w:ascii="Times New Roman" w:hAnsi="Times New Roman" w:eastAsia="仿宋" w:cs="Times New Roman"/>
                <w:snapToGrid w:val="0"/>
                <w:color w:val="000000"/>
                <w:sz w:val="18"/>
                <w:szCs w:val="18"/>
                <w:lang w:val="en-US" w:eastAsia="zh-CN"/>
              </w:rPr>
              <w:t>6-1</w:t>
            </w:r>
          </w:p>
        </w:tc>
        <w:tc>
          <w:tcPr>
            <w:tcW w:w="86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lang w:val="en-US" w:eastAsia="zh-CN"/>
              </w:rPr>
            </w:pPr>
            <w:r>
              <w:rPr>
                <w:rFonts w:hint="default" w:ascii="Times New Roman" w:hAnsi="Times New Roman" w:eastAsia="仿宋" w:cs="Times New Roman"/>
                <w:snapToGrid w:val="0"/>
                <w:color w:val="000000"/>
                <w:sz w:val="18"/>
                <w:szCs w:val="18"/>
                <w:lang w:val="en-US" w:eastAsia="zh-CN"/>
              </w:rPr>
              <w:t>2</w:t>
            </w:r>
          </w:p>
        </w:tc>
        <w:tc>
          <w:tcPr>
            <w:tcW w:w="125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rPr>
              <w:t>论文合著</w:t>
            </w:r>
          </w:p>
        </w:tc>
        <w:tc>
          <w:tcPr>
            <w:tcW w:w="11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lang w:eastAsia="zh-CN"/>
              </w:rPr>
              <w:t>郁二蒙、马华威</w:t>
            </w:r>
          </w:p>
        </w:tc>
        <w:tc>
          <w:tcPr>
            <w:tcW w:w="112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lang w:val="en-US" w:eastAsia="zh-CN"/>
              </w:rPr>
              <w:t>2022年至今</w:t>
            </w:r>
          </w:p>
        </w:tc>
        <w:tc>
          <w:tcPr>
            <w:tcW w:w="303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rPr>
              <w:t>Broad bean (Vicia faba L.) caused abnormal lipid metabolism in grass carp (Ctenopharyngodon idellus) liver: Insight from the gut microbiota–liver axis</w:t>
            </w:r>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lang w:val="en-US" w:eastAsia="zh-CN"/>
              </w:rPr>
            </w:pPr>
            <w:r>
              <w:rPr>
                <w:rFonts w:hint="default" w:ascii="Times New Roman" w:hAnsi="Times New Roman" w:eastAsia="仿宋" w:cs="Times New Roman"/>
                <w:snapToGrid w:val="0"/>
                <w:color w:val="000000"/>
                <w:sz w:val="18"/>
                <w:szCs w:val="18"/>
                <w:lang w:val="en-US" w:eastAsia="zh-CN"/>
              </w:rPr>
              <w:t>6-2</w:t>
            </w:r>
          </w:p>
        </w:tc>
        <w:tc>
          <w:tcPr>
            <w:tcW w:w="86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lang w:val="en-US" w:eastAsia="zh-CN"/>
              </w:rPr>
            </w:pPr>
            <w:r>
              <w:rPr>
                <w:rFonts w:hint="default" w:ascii="Times New Roman" w:hAnsi="Times New Roman" w:eastAsia="仿宋" w:cs="Times New Roman"/>
                <w:snapToGrid w:val="0"/>
                <w:color w:val="000000"/>
                <w:sz w:val="18"/>
                <w:szCs w:val="18"/>
                <w:lang w:val="en-US" w:eastAsia="zh-CN"/>
              </w:rPr>
              <w:t>3</w:t>
            </w:r>
          </w:p>
        </w:tc>
        <w:tc>
          <w:tcPr>
            <w:tcW w:w="125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rPr>
              <w:t>共同专利</w:t>
            </w:r>
          </w:p>
        </w:tc>
        <w:tc>
          <w:tcPr>
            <w:tcW w:w="11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rPr>
              <w:t>郁二蒙、谢骏、田晶晶</w:t>
            </w:r>
          </w:p>
        </w:tc>
        <w:tc>
          <w:tcPr>
            <w:tcW w:w="112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lang w:val="en-US" w:eastAsia="zh-CN"/>
              </w:rPr>
              <w:t>2020年至今</w:t>
            </w:r>
          </w:p>
        </w:tc>
        <w:tc>
          <w:tcPr>
            <w:tcW w:w="303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rPr>
              <w:t>一种蚕豆苷的分离纯化方法及其产品和应用</w:t>
            </w:r>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lang w:val="en-US" w:eastAsia="zh-CN"/>
              </w:rPr>
            </w:pPr>
            <w:r>
              <w:rPr>
                <w:rFonts w:hint="default" w:ascii="Times New Roman" w:hAnsi="Times New Roman" w:eastAsia="仿宋" w:cs="Times New Roman"/>
                <w:snapToGrid w:val="0"/>
                <w:color w:val="000000"/>
                <w:sz w:val="18"/>
                <w:szCs w:val="18"/>
                <w:lang w:val="en-US" w:eastAsia="zh-CN"/>
              </w:rPr>
              <w:t>6-3</w:t>
            </w:r>
          </w:p>
        </w:tc>
        <w:tc>
          <w:tcPr>
            <w:tcW w:w="86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lang w:val="en-US" w:eastAsia="zh-CN"/>
              </w:rPr>
            </w:pPr>
            <w:r>
              <w:rPr>
                <w:rFonts w:hint="default" w:ascii="Times New Roman" w:hAnsi="Times New Roman" w:eastAsia="仿宋" w:cs="Times New Roman"/>
                <w:snapToGrid w:val="0"/>
                <w:color w:val="000000"/>
                <w:sz w:val="18"/>
                <w:szCs w:val="18"/>
                <w:lang w:val="en-US" w:eastAsia="zh-CN"/>
              </w:rPr>
              <w:t>4</w:t>
            </w:r>
          </w:p>
        </w:tc>
        <w:tc>
          <w:tcPr>
            <w:tcW w:w="1251"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rPr>
              <w:t>共同专利</w:t>
            </w:r>
          </w:p>
        </w:tc>
        <w:tc>
          <w:tcPr>
            <w:tcW w:w="1180"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rPr>
              <w:t>郁二蒙、马华威</w:t>
            </w:r>
          </w:p>
        </w:tc>
        <w:tc>
          <w:tcPr>
            <w:tcW w:w="1120"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rPr>
              <w:t>2022年至今</w:t>
            </w:r>
          </w:p>
        </w:tc>
        <w:tc>
          <w:tcPr>
            <w:tcW w:w="3030" w:type="dxa"/>
            <w:tcBorders>
              <w:top w:val="single" w:color="000000" w:sz="4" w:space="0"/>
              <w:left w:val="nil"/>
              <w:bottom w:val="single" w:color="000000" w:sz="4" w:space="0"/>
              <w:right w:val="single" w:color="000000" w:sz="4" w:space="0"/>
            </w:tcBorders>
            <w:vAlign w:val="center"/>
          </w:tcPr>
          <w:p>
            <w:pPr>
              <w:adjustRightInd w:val="0"/>
              <w:snapToGrid w:val="0"/>
              <w:spacing w:line="24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rPr>
              <w:t>一种罗非鱼食品加工用腥味降解装置</w:t>
            </w:r>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lang w:val="en-US" w:eastAsia="zh-CN"/>
              </w:rPr>
            </w:pPr>
            <w:r>
              <w:rPr>
                <w:rFonts w:hint="default" w:ascii="Times New Roman" w:hAnsi="Times New Roman" w:eastAsia="仿宋" w:cs="Times New Roman"/>
                <w:snapToGrid w:val="0"/>
                <w:color w:val="000000"/>
                <w:sz w:val="18"/>
                <w:szCs w:val="18"/>
                <w:lang w:val="en-US" w:eastAsia="zh-CN"/>
              </w:rPr>
              <w:t>6-4</w:t>
            </w:r>
          </w:p>
        </w:tc>
        <w:tc>
          <w:tcPr>
            <w:tcW w:w="86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lang w:val="en-US" w:eastAsia="zh-CN"/>
              </w:rPr>
            </w:pPr>
            <w:r>
              <w:rPr>
                <w:rFonts w:hint="default" w:ascii="Times New Roman" w:hAnsi="Times New Roman" w:eastAsia="仿宋" w:cs="Times New Roman"/>
                <w:snapToGrid w:val="0"/>
                <w:color w:val="000000"/>
                <w:sz w:val="18"/>
                <w:szCs w:val="18"/>
                <w:lang w:val="en-US" w:eastAsia="zh-CN"/>
              </w:rPr>
              <w:t>5</w:t>
            </w:r>
          </w:p>
        </w:tc>
        <w:tc>
          <w:tcPr>
            <w:tcW w:w="125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rPr>
              <w:t>论文合著</w:t>
            </w:r>
          </w:p>
        </w:tc>
        <w:tc>
          <w:tcPr>
            <w:tcW w:w="11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rPr>
              <w:t>郁二蒙、</w:t>
            </w:r>
            <w:r>
              <w:rPr>
                <w:rFonts w:hint="default" w:ascii="Times New Roman" w:hAnsi="Times New Roman" w:cs="Times New Roman" w:eastAsiaTheme="minorEastAsia"/>
                <w:snapToGrid w:val="0"/>
                <w:color w:val="000000"/>
                <w:sz w:val="18"/>
                <w:szCs w:val="18"/>
                <w:lang w:eastAsia="zh-CN"/>
              </w:rPr>
              <w:t>马华威、</w:t>
            </w:r>
            <w:r>
              <w:rPr>
                <w:rFonts w:hint="default" w:ascii="Times New Roman" w:hAnsi="Times New Roman" w:cs="Times New Roman" w:eastAsiaTheme="minorEastAsia"/>
                <w:snapToGrid w:val="0"/>
                <w:color w:val="000000"/>
                <w:sz w:val="18"/>
                <w:szCs w:val="18"/>
              </w:rPr>
              <w:t>谢骏、田晶晶</w:t>
            </w:r>
          </w:p>
        </w:tc>
        <w:tc>
          <w:tcPr>
            <w:tcW w:w="112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lang w:val="en-US" w:eastAsia="zh-CN"/>
              </w:rPr>
            </w:pPr>
            <w:r>
              <w:rPr>
                <w:rFonts w:hint="default" w:ascii="Times New Roman" w:hAnsi="Times New Roman" w:cs="Times New Roman" w:eastAsiaTheme="minorEastAsia"/>
                <w:snapToGrid w:val="0"/>
                <w:color w:val="000000"/>
                <w:sz w:val="18"/>
                <w:szCs w:val="18"/>
                <w:lang w:val="en-US" w:eastAsia="zh-CN"/>
              </w:rPr>
              <w:t>2022年至今</w:t>
            </w:r>
          </w:p>
        </w:tc>
        <w:tc>
          <w:tcPr>
            <w:tcW w:w="303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rPr>
              <w:t>Microorganism-mediated denitrogenation</w:t>
            </w:r>
            <w:r>
              <w:rPr>
                <w:rFonts w:hint="default" w:ascii="Times New Roman" w:hAnsi="Times New Roman" w:cs="Times New Roman" w:eastAsiaTheme="minorEastAsia"/>
                <w:snapToGrid w:val="0"/>
                <w:color w:val="000000"/>
                <w:sz w:val="18"/>
                <w:szCs w:val="18"/>
                <w:lang w:val="en-US" w:eastAsia="zh-CN"/>
              </w:rPr>
              <w:t xml:space="preserve"> </w:t>
            </w:r>
            <w:r>
              <w:rPr>
                <w:rFonts w:hint="default" w:ascii="Times New Roman" w:hAnsi="Times New Roman" w:cs="Times New Roman" w:eastAsiaTheme="minorEastAsia"/>
                <w:snapToGrid w:val="0"/>
                <w:color w:val="000000"/>
                <w:sz w:val="18"/>
                <w:szCs w:val="18"/>
              </w:rPr>
              <w:t>of aquaculture systems provoked by poly-</w:t>
            </w:r>
            <w:r>
              <w:rPr>
                <w:rFonts w:hint="default" w:ascii="Times New Roman" w:hAnsi="Times New Roman" w:cs="Times New Roman" w:eastAsiaTheme="minorEastAsia"/>
                <w:i/>
                <w:iCs/>
                <w:snapToGrid w:val="0"/>
                <w:color w:val="000000"/>
                <w:sz w:val="18"/>
                <w:szCs w:val="18"/>
              </w:rPr>
              <w:t>β</w:t>
            </w:r>
            <w:r>
              <w:rPr>
                <w:rFonts w:hint="default" w:ascii="Times New Roman" w:hAnsi="Times New Roman" w:cs="Times New Roman" w:eastAsiaTheme="minorEastAsia"/>
                <w:snapToGrid w:val="0"/>
                <w:color w:val="000000"/>
                <w:sz w:val="18"/>
                <w:szCs w:val="18"/>
              </w:rPr>
              <w:t>-hydroxybutyrate (PHB)</w:t>
            </w:r>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lang w:val="en-US" w:eastAsia="zh-CN"/>
              </w:rPr>
            </w:pPr>
            <w:r>
              <w:rPr>
                <w:rFonts w:hint="default" w:ascii="Times New Roman" w:hAnsi="Times New Roman" w:eastAsia="仿宋" w:cs="Times New Roman"/>
                <w:snapToGrid w:val="0"/>
                <w:color w:val="000000"/>
                <w:sz w:val="18"/>
                <w:szCs w:val="18"/>
                <w:lang w:val="en-US" w:eastAsia="zh-CN"/>
              </w:rPr>
              <w:t>6-5</w:t>
            </w:r>
          </w:p>
        </w:tc>
        <w:tc>
          <w:tcPr>
            <w:tcW w:w="86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6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lang w:val="en-US" w:eastAsia="zh-CN"/>
              </w:rPr>
            </w:pPr>
            <w:r>
              <w:rPr>
                <w:rFonts w:hint="default" w:ascii="Times New Roman" w:hAnsi="Times New Roman" w:eastAsia="仿宋" w:cs="Times New Roman"/>
                <w:snapToGrid w:val="0"/>
                <w:color w:val="000000"/>
                <w:sz w:val="18"/>
                <w:szCs w:val="18"/>
                <w:lang w:val="en-US" w:eastAsia="zh-CN"/>
              </w:rPr>
              <w:t>6</w:t>
            </w:r>
          </w:p>
        </w:tc>
        <w:tc>
          <w:tcPr>
            <w:tcW w:w="125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lang w:eastAsia="zh-CN"/>
              </w:rPr>
            </w:pPr>
            <w:r>
              <w:rPr>
                <w:rFonts w:hint="default" w:ascii="Times New Roman" w:hAnsi="Times New Roman" w:cs="Times New Roman" w:eastAsiaTheme="minorEastAsia"/>
                <w:snapToGrid w:val="0"/>
                <w:color w:val="000000"/>
                <w:sz w:val="18"/>
                <w:szCs w:val="18"/>
              </w:rPr>
              <w:t>论文合著</w:t>
            </w:r>
          </w:p>
        </w:tc>
        <w:tc>
          <w:tcPr>
            <w:tcW w:w="118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rPr>
              <w:t>郁二蒙、刘利平、谢骏、田晶晶</w:t>
            </w:r>
          </w:p>
        </w:tc>
        <w:tc>
          <w:tcPr>
            <w:tcW w:w="112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color w:val="000000"/>
                <w:sz w:val="18"/>
                <w:szCs w:val="18"/>
              </w:rPr>
              <w:t>2020年至今</w:t>
            </w:r>
          </w:p>
        </w:tc>
        <w:tc>
          <w:tcPr>
            <w:tcW w:w="303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cs="Times New Roman" w:eastAsiaTheme="minorEastAsia"/>
                <w:snapToGrid w:val="0"/>
                <w:color w:val="000000"/>
                <w:sz w:val="18"/>
                <w:szCs w:val="18"/>
              </w:rPr>
            </w:pPr>
            <w:r>
              <w:rPr>
                <w:rFonts w:hint="default" w:ascii="Times New Roman" w:hAnsi="Times New Roman" w:cs="Times New Roman" w:eastAsiaTheme="minorEastAsia"/>
                <w:snapToGrid w:val="0"/>
                <w:sz w:val="18"/>
                <w:szCs w:val="18"/>
              </w:rPr>
              <w:t>蚕豆水提取物及维生素C和E对草鱼肌肉质构、营养成分以及氧化应激的影响</w:t>
            </w:r>
          </w:p>
        </w:tc>
        <w:tc>
          <w:tcPr>
            <w:tcW w:w="107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lang w:val="en-US" w:eastAsia="zh-CN"/>
              </w:rPr>
            </w:pPr>
            <w:r>
              <w:rPr>
                <w:rFonts w:hint="default" w:ascii="Times New Roman" w:hAnsi="Times New Roman" w:eastAsia="仿宋" w:cs="Times New Roman"/>
                <w:snapToGrid w:val="0"/>
                <w:color w:val="000000"/>
                <w:sz w:val="18"/>
                <w:szCs w:val="18"/>
                <w:lang w:val="en-US" w:eastAsia="zh-CN"/>
              </w:rPr>
              <w:t>6-6</w:t>
            </w:r>
          </w:p>
        </w:tc>
        <w:tc>
          <w:tcPr>
            <w:tcW w:w="861"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hint="default" w:ascii="Times New Roman" w:hAnsi="Times New Roman" w:eastAsia="仿宋" w:cs="Times New Roman"/>
                <w:snapToGrid w:val="0"/>
                <w:color w:val="000000"/>
                <w:sz w:val="18"/>
                <w:szCs w:val="18"/>
              </w:rPr>
            </w:pPr>
          </w:p>
        </w:tc>
      </w:tr>
    </w:tbl>
    <w:p>
      <w:pPr>
        <w:pStyle w:val="10"/>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xOTIyYzhjZjRmYjUwODk4OGE2MThmNWZkMzVkYWUifQ=="/>
  </w:docVars>
  <w:rsids>
    <w:rsidRoot w:val="0CC8630E"/>
    <w:rsid w:val="001978C2"/>
    <w:rsid w:val="0048501C"/>
    <w:rsid w:val="00FB0B1F"/>
    <w:rsid w:val="00FD0F8B"/>
    <w:rsid w:val="01874BFF"/>
    <w:rsid w:val="0CC8630E"/>
    <w:rsid w:val="177109D8"/>
    <w:rsid w:val="18C16338"/>
    <w:rsid w:val="241F02D3"/>
    <w:rsid w:val="43DA1533"/>
    <w:rsid w:val="45341296"/>
    <w:rsid w:val="466D4FE9"/>
    <w:rsid w:val="47EE3D90"/>
    <w:rsid w:val="5BE93EEE"/>
    <w:rsid w:val="63FD4195"/>
    <w:rsid w:val="65F87F9F"/>
    <w:rsid w:val="6E13132E"/>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3558</Words>
  <Characters>6170</Characters>
  <Lines>5</Lines>
  <Paragraphs>1</Paragraphs>
  <TotalTime>1</TotalTime>
  <ScaleCrop>false</ScaleCrop>
  <LinksUpToDate>false</LinksUpToDate>
  <CharactersWithSpaces>6617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心静自然凉</cp:lastModifiedBy>
  <dcterms:modified xsi:type="dcterms:W3CDTF">2024-06-14T03:26:39Z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6AAAF09DD86842828EB331F9B0614A69_13</vt:lpwstr>
  </property>
</Properties>
</file>