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8"/>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keepNext w:val="0"/>
              <w:keepLines w:val="0"/>
              <w:widowControl/>
              <w:suppressLineNumbers w:val="0"/>
              <w:jc w:val="center"/>
              <w:textAlignment w:val="center"/>
              <w:rPr>
                <w:rFonts w:ascii="仿宋_GB2312" w:hAnsi="仿宋_GB2312" w:eastAsia="仿宋_GB2312" w:cs="仿宋_GB2312"/>
                <w:szCs w:val="21"/>
              </w:rPr>
            </w:pPr>
            <w:r>
              <w:rPr>
                <w:rFonts w:hint="default" w:ascii="宋体" w:hAnsi="宋体" w:eastAsia="宋体" w:cs="宋体"/>
                <w:i w:val="0"/>
                <w:iCs w:val="0"/>
                <w:color w:val="000000"/>
                <w:sz w:val="22"/>
                <w:szCs w:val="22"/>
                <w:u w:val="none"/>
                <w:lang w:val="en-US" w:eastAsia="zh-CN"/>
              </w:rPr>
              <w:t>桑树饲料化开发关键技术及应用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keepNext w:val="0"/>
              <w:keepLines w:val="0"/>
              <w:widowControl/>
              <w:suppressLineNumbers w:val="0"/>
              <w:jc w:val="center"/>
              <w:textAlignment w:val="center"/>
              <w:rPr>
                <w:rFonts w:ascii="仿宋_GB2312" w:hAnsi="仿宋_GB2312" w:eastAsia="仿宋_GB2312" w:cs="仿宋_GB2312"/>
                <w:szCs w:val="21"/>
              </w:rPr>
            </w:pPr>
            <w:r>
              <w:rPr>
                <w:rFonts w:hint="eastAsia" w:ascii="宋体" w:hAnsi="宋体" w:eastAsia="宋体" w:cs="宋体"/>
                <w:i w:val="0"/>
                <w:iCs w:val="0"/>
                <w:color w:val="000000"/>
                <w:sz w:val="22"/>
                <w:szCs w:val="22"/>
                <w:u w:val="none"/>
                <w:lang w:val="en-US" w:eastAsia="zh-CN"/>
              </w:rPr>
              <w:t>聂良文、韦伟、梁贵秋、黄世洋、莫云霞、李乙、王志坚、罗坚、黄梅梅、李燕飞、何国玲、莫炳巧、赖艳梅、谭绮姝、黄璟岚。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keepNext w:val="0"/>
              <w:keepLines w:val="0"/>
              <w:widowControl/>
              <w:suppressLineNumbers w:val="0"/>
              <w:jc w:val="center"/>
              <w:textAlignment w:val="center"/>
              <w:rPr>
                <w:rFonts w:ascii="仿宋_GB2312" w:hAnsi="仿宋_GB2312" w:eastAsia="仿宋_GB2312" w:cs="仿宋_GB2312"/>
                <w:szCs w:val="21"/>
              </w:rPr>
            </w:pPr>
            <w:r>
              <w:rPr>
                <w:rFonts w:hint="eastAsia" w:ascii="宋体" w:hAnsi="宋体" w:eastAsia="宋体" w:cs="宋体"/>
                <w:i w:val="0"/>
                <w:iCs w:val="0"/>
                <w:color w:val="000000"/>
                <w:sz w:val="22"/>
                <w:szCs w:val="22"/>
                <w:u w:val="none"/>
                <w:lang w:val="en-US" w:eastAsia="zh-CN"/>
              </w:rPr>
              <w:t>广西壮族自治区蚕业技术推广站、广西大学、山东芳华农业发展有限公司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keepNext w:val="0"/>
              <w:keepLines w:val="0"/>
              <w:widowControl/>
              <w:suppressLineNumbers w:val="0"/>
              <w:jc w:val="center"/>
              <w:textAlignment w:val="center"/>
              <w:rPr>
                <w:rFonts w:ascii="仿宋_GB2312" w:hAnsi="仿宋_GB2312" w:eastAsia="仿宋_GB2312" w:cs="仿宋_GB2312"/>
                <w:sz w:val="28"/>
                <w:szCs w:val="28"/>
              </w:rPr>
            </w:pPr>
            <w:r>
              <w:rPr>
                <w:rFonts w:hint="eastAsia" w:ascii="宋体" w:hAnsi="宋体" w:eastAsia="宋体" w:cs="宋体"/>
                <w:i w:val="0"/>
                <w:iCs w:val="0"/>
                <w:color w:val="000000"/>
                <w:sz w:val="22"/>
                <w:szCs w:val="22"/>
                <w:u w:val="none"/>
                <w:lang w:val="en-US" w:eastAsia="zh-CN"/>
              </w:rPr>
              <w:t>广西壮族自治区农业农村厅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发明专利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饲料桑与牧草间种的栽培方法</w:t>
            </w:r>
          </w:p>
        </w:tc>
        <w:tc>
          <w:tcPr>
            <w:tcW w:w="1035" w:type="dxa"/>
            <w:tcMar>
              <w:left w:w="57" w:type="dxa"/>
              <w:right w:w="57" w:type="dxa"/>
            </w:tcMar>
            <w:vAlign w:val="center"/>
          </w:tcPr>
          <w:p>
            <w:pPr>
              <w:adjustRightInd w:val="0"/>
              <w:snapToGrid w:val="0"/>
              <w:spacing w:line="280" w:lineRule="exact"/>
              <w:jc w:val="center"/>
              <w:rPr>
                <w:rFonts w:hint="eastAsia" w:ascii="仿宋_GB2312" w:hAnsi="仿宋_GB2312" w:eastAsia="仿宋_GB2312" w:cs="仿宋_GB2312"/>
                <w:bCs/>
                <w:szCs w:val="21"/>
                <w:lang w:val="en-US" w:eastAsia="zh-CN"/>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ZL202110275117.0</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2023年07月25日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证书号第6172802号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广西壮族自治区蚕业技术推广站</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李乙、林强、聂良文、黄世洋、邱长玉、韦伟、朱光书、李韬、张朝华、卢德</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发明专利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混合发酵型桑枝叶微贮饲料及其制备方法</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ZL201810974536.1</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2021年08月31日</w:t>
            </w:r>
          </w:p>
        </w:tc>
        <w:tc>
          <w:tcPr>
            <w:tcW w:w="1034" w:type="dxa"/>
            <w:tcMar>
              <w:left w:w="57" w:type="dxa"/>
              <w:right w:w="57" w:type="dxa"/>
            </w:tcMar>
            <w:vAlign w:val="center"/>
          </w:tcPr>
          <w:p>
            <w:pPr>
              <w:adjustRightInd w:val="0"/>
              <w:snapToGrid w:val="0"/>
              <w:spacing w:line="280" w:lineRule="exact"/>
              <w:jc w:val="center"/>
              <w:rPr>
                <w:rFonts w:hint="default"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证书号第4647725号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广西壮族自治区蚕业技术推广站</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聂良文、李标、乐波灵、韦伟、黄世洋、于永霞、梁贵秋、潘启寿</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发明专利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混合发酵型桑枝叶微贮鸡饲料及鸡的饲养方法</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ZL201810975366.9</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2021年11月09日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证书号第4780212号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广西壮族自治区蚕业技术推广站</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聂良文、李标、韦伟、乐波灵、黄世洋、潘启寿、梁贵秋、于永霞</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发明专利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混合发酵型桑枝叶微贮鸭饲料及饲养鸭子的方法</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ZL201810975343.8</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2022年02月01日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证书号第4917611号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广西壮族自治区蚕业技术推广站</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聂良文、李标、乐波灵、韦伟、黄世洋、潘启寿、于永霞、梁贵秋</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发明专利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混合发酵型桑枝叶微贮鹅饲料及鹅的饲养方法</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ZL201810975304.8</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2021年08月31日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证书号第4647726号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广西壮族自治区蚕业技术推广站</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聂良文、李标、乐波灵、韦伟、黄世洋、潘启寿、梁贵秋、于永霞</w:t>
            </w:r>
          </w:p>
        </w:tc>
        <w:tc>
          <w:tcPr>
            <w:tcW w:w="834"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有效</w:t>
            </w:r>
          </w:p>
        </w:tc>
        <w:tc>
          <w:tcPr>
            <w:tcW w:w="1206"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实用新型专利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rPr>
              <w:t>用于木本饲料收割的无扶收割装置</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ZL201721283689.9</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2018年04月10日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证书号第7189562号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王志坚</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王志坚</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实用新型专利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rPr>
              <w:t>饲料作物收割及多级切碎细碎揉搓装置</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ZL201821246856.7</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2019年03月19日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证书号第8600145号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王志坚</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王志坚</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实用新型专利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rPr>
              <w:t>用于木本饲料收割的输送辊结构</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ZL201820706271.2</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2019年01月18日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证书号第8376852号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王志坚</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lang w:eastAsia="zh-CN"/>
              </w:rPr>
              <w:t>王志坚</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实用新型专利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牧草饲料加工生产线</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ZL202320169401.4</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2023年06月09日</w:t>
            </w:r>
          </w:p>
        </w:tc>
        <w:tc>
          <w:tcPr>
            <w:tcW w:w="1034" w:type="dxa"/>
            <w:tcMar>
              <w:left w:w="57" w:type="dxa"/>
              <w:right w:w="57" w:type="dxa"/>
            </w:tcMar>
            <w:vAlign w:val="center"/>
          </w:tcPr>
          <w:p>
            <w:pPr>
              <w:adjustRightInd w:val="0"/>
              <w:snapToGrid w:val="0"/>
              <w:spacing w:line="280" w:lineRule="exact"/>
              <w:jc w:val="center"/>
              <w:rPr>
                <w:rFonts w:hint="default"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证书号第19140864号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广西大学</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rPr>
              <w:t>黄世洋</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罗欢</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梁琼</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罗皎兰</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朱芝燕</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韦利灯</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实用新型专利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牧草粉碎烘干一体机</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ZL202121821308.4</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2023年01月10日</w:t>
            </w:r>
          </w:p>
        </w:tc>
        <w:tc>
          <w:tcPr>
            <w:tcW w:w="1034" w:type="dxa"/>
            <w:tcMar>
              <w:left w:w="57" w:type="dxa"/>
              <w:right w:w="57" w:type="dxa"/>
            </w:tcMar>
            <w:vAlign w:val="center"/>
          </w:tcPr>
          <w:p>
            <w:pPr>
              <w:adjustRightInd w:val="0"/>
              <w:snapToGrid w:val="0"/>
              <w:spacing w:line="280" w:lineRule="exact"/>
              <w:jc w:val="center"/>
              <w:rPr>
                <w:rFonts w:hint="default"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证书号第18255609号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广西绿迈生态农业科技有限公司:广西大学</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rPr>
              <w:t>黄世洋</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聂良文</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曾俊</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梁琼</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莫良玉</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朱芝</w:t>
            </w:r>
            <w:r>
              <w:rPr>
                <w:rFonts w:hint="eastAsia" w:ascii="方正黑体_GBK" w:eastAsia="方正黑体_GBK"/>
                <w:snapToGrid w:val="0"/>
                <w:color w:val="000000"/>
                <w:sz w:val="18"/>
                <w:szCs w:val="18"/>
                <w:lang w:val="en-US" w:eastAsia="zh-CN"/>
              </w:rPr>
              <w:t>燕</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颜仕海</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韦利灯</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实用新型专利</w:t>
            </w:r>
          </w:p>
        </w:tc>
        <w:tc>
          <w:tcPr>
            <w:tcW w:w="1170" w:type="dxa"/>
            <w:gridSpan w:val="2"/>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牧草二级连续粉碎机</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黑体" w:hAnsi="黑体" w:eastAsia="黑体" w:cs="黑体"/>
                <w:bCs/>
                <w:sz w:val="18"/>
                <w:szCs w:val="18"/>
                <w:lang w:val="en-US" w:eastAsia="zh-CN"/>
              </w:rPr>
              <w:t>中国</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ZL202121819425.7</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2023年04月7日</w:t>
            </w:r>
          </w:p>
        </w:tc>
        <w:tc>
          <w:tcPr>
            <w:tcW w:w="1034" w:type="dxa"/>
            <w:tcMar>
              <w:left w:w="57" w:type="dxa"/>
              <w:right w:w="57" w:type="dxa"/>
            </w:tcMar>
            <w:vAlign w:val="center"/>
          </w:tcPr>
          <w:p>
            <w:pPr>
              <w:adjustRightInd w:val="0"/>
              <w:snapToGrid w:val="0"/>
              <w:spacing w:line="280" w:lineRule="exact"/>
              <w:jc w:val="center"/>
              <w:rPr>
                <w:rFonts w:hint="eastAsia" w:ascii="方正黑体_GBK" w:eastAsia="方正黑体_GBK"/>
                <w:snapToGrid w:val="0"/>
                <w:color w:val="000000"/>
                <w:sz w:val="18"/>
                <w:szCs w:val="18"/>
                <w:lang w:val="en-US" w:eastAsia="zh-CN"/>
              </w:rPr>
            </w:pPr>
            <w:r>
              <w:rPr>
                <w:rFonts w:hint="eastAsia" w:ascii="方正黑体_GBK" w:eastAsia="方正黑体_GBK"/>
                <w:snapToGrid w:val="0"/>
                <w:color w:val="000000"/>
                <w:sz w:val="18"/>
                <w:szCs w:val="18"/>
                <w:lang w:val="en-US" w:eastAsia="zh-CN"/>
              </w:rPr>
              <w:t>证书号第18781330号</w:t>
            </w:r>
          </w:p>
        </w:tc>
        <w:tc>
          <w:tcPr>
            <w:tcW w:w="8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广西绿迈生态农业科技有限公司:广西大学</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kern w:val="2"/>
                <w:sz w:val="21"/>
                <w:szCs w:val="21"/>
                <w:lang w:val="en-US" w:eastAsia="zh-CN" w:bidi="ar-SA"/>
              </w:rPr>
            </w:pPr>
            <w:r>
              <w:rPr>
                <w:rFonts w:hint="eastAsia" w:ascii="方正黑体_GBK" w:eastAsia="方正黑体_GBK"/>
                <w:snapToGrid w:val="0"/>
                <w:color w:val="000000"/>
                <w:sz w:val="18"/>
                <w:szCs w:val="18"/>
              </w:rPr>
              <w:t>黄世洋</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聂良文</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曾俊</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梁琼</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莫良玉</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朱芝</w:t>
            </w:r>
            <w:r>
              <w:rPr>
                <w:rFonts w:hint="eastAsia" w:ascii="方正黑体_GBK" w:eastAsia="方正黑体_GBK"/>
                <w:snapToGrid w:val="0"/>
                <w:color w:val="000000"/>
                <w:sz w:val="18"/>
                <w:szCs w:val="18"/>
                <w:lang w:val="en-US" w:eastAsia="zh-CN"/>
              </w:rPr>
              <w:t>燕</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颜仕海</w:t>
            </w:r>
            <w:r>
              <w:rPr>
                <w:rFonts w:hint="eastAsia" w:ascii="方正黑体_GBK" w:eastAsia="方正黑体_GBK"/>
                <w:snapToGrid w:val="0"/>
                <w:color w:val="000000"/>
                <w:sz w:val="18"/>
                <w:szCs w:val="18"/>
                <w:lang w:eastAsia="zh-CN"/>
              </w:rPr>
              <w:t>、</w:t>
            </w:r>
            <w:r>
              <w:rPr>
                <w:rFonts w:hint="eastAsia" w:ascii="方正黑体_GBK" w:eastAsia="方正黑体_GBK"/>
                <w:snapToGrid w:val="0"/>
                <w:color w:val="000000"/>
                <w:sz w:val="18"/>
                <w:szCs w:val="18"/>
              </w:rPr>
              <w:t>韦利灯</w:t>
            </w:r>
          </w:p>
        </w:tc>
        <w:tc>
          <w:tcPr>
            <w:tcW w:w="8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有效</w:t>
            </w:r>
          </w:p>
        </w:tc>
        <w:tc>
          <w:tcPr>
            <w:tcW w:w="1206"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论文名称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刊名</w:t>
            </w: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作者</w:t>
            </w: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年卷页码(xx年xx卷xx页)</w:t>
            </w: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发表时间（年月日）</w:t>
            </w: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通讯作者（含共同）</w:t>
            </w: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第一作者(含共同)</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署名单位</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利用桑枝叶微贮饲料提升鸡肉品质试验研究</w:t>
            </w:r>
          </w:p>
        </w:tc>
        <w:tc>
          <w:tcPr>
            <w:tcW w:w="1170" w:type="dxa"/>
            <w:gridSpan w:val="2"/>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default" w:ascii="宋体" w:hAnsi="宋体" w:eastAsia="宋体" w:cs="宋体"/>
                <w:i w:val="0"/>
                <w:iCs w:val="0"/>
                <w:color w:val="000000"/>
                <w:kern w:val="0"/>
                <w:sz w:val="18"/>
                <w:szCs w:val="18"/>
                <w:u w:val="none"/>
                <w:lang w:val="en-US" w:eastAsia="zh-CN" w:bidi="ar"/>
              </w:rPr>
              <w:t>蚕桑茶叶通讯</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rPr>
              <w:t>卢德，韦伟，李标，李乙，罗佳，黄世洋，林强，乐波灵，聂良文.</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2021</w:t>
            </w:r>
            <w:r>
              <w:rPr>
                <w:rFonts w:hint="eastAsia" w:ascii="方正黑体_GBK" w:eastAsia="方正黑体_GBK"/>
                <w:snapToGrid w:val="0"/>
                <w:color w:val="000000"/>
                <w:sz w:val="18"/>
                <w:szCs w:val="18"/>
                <w:lang w:val="en-US" w:eastAsia="zh-CN"/>
              </w:rPr>
              <w:t>（</w:t>
            </w:r>
            <w:r>
              <w:rPr>
                <w:rFonts w:hint="default" w:ascii="方正黑体_GBK" w:eastAsia="方正黑体_GBK"/>
                <w:snapToGrid w:val="0"/>
                <w:color w:val="000000"/>
                <w:sz w:val="18"/>
                <w:szCs w:val="18"/>
                <w:lang w:val="en-US" w:eastAsia="zh-CN"/>
              </w:rPr>
              <w:t>2</w:t>
            </w:r>
            <w:r>
              <w:rPr>
                <w:rFonts w:hint="eastAsia" w:ascii="方正黑体_GBK" w:eastAsia="方正黑体_GBK"/>
                <w:snapToGrid w:val="0"/>
                <w:color w:val="000000"/>
                <w:sz w:val="18"/>
                <w:szCs w:val="18"/>
                <w:lang w:val="en-US" w:eastAsia="zh-CN"/>
              </w:rPr>
              <w:t>）：</w:t>
            </w:r>
            <w:r>
              <w:rPr>
                <w:rFonts w:hint="default" w:ascii="方正黑体_GBK" w:eastAsia="方正黑体_GBK"/>
                <w:snapToGrid w:val="0"/>
                <w:color w:val="000000"/>
                <w:sz w:val="18"/>
                <w:szCs w:val="18"/>
                <w:lang w:val="en-US" w:eastAsia="zh-CN"/>
              </w:rPr>
              <w:t>8-12</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2021年06月30日</w:t>
            </w:r>
          </w:p>
        </w:tc>
        <w:tc>
          <w:tcPr>
            <w:tcW w:w="10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Times New Roman" w:hAnsi="Times New Roman" w:eastAsia="宋体" w:cs="Times New Roman"/>
                <w:i w:val="0"/>
                <w:iCs w:val="0"/>
                <w:color w:val="000000"/>
                <w:sz w:val="18"/>
                <w:szCs w:val="18"/>
                <w:u w:val="none"/>
                <w:lang w:val="en-US" w:eastAsia="zh-CN"/>
              </w:rPr>
              <w:t>卢德</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eastAsia="zh-CN"/>
              </w:rPr>
              <w:t>广西壮族自治区蚕业技术推广站，</w:t>
            </w:r>
            <w:r>
              <w:rPr>
                <w:rFonts w:hint="eastAsia" w:ascii="方正黑体_GBK" w:eastAsia="方正黑体_GBK"/>
                <w:snapToGrid w:val="0"/>
                <w:color w:val="000000"/>
                <w:sz w:val="18"/>
                <w:szCs w:val="18"/>
                <w:lang w:val="en-US" w:eastAsia="zh-CN"/>
              </w:rPr>
              <w:t>南宁海关中心，广西大学</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6个饲料桑树品种在广西地区品比试验研究</w:t>
            </w:r>
          </w:p>
        </w:tc>
        <w:tc>
          <w:tcPr>
            <w:tcW w:w="1170" w:type="dxa"/>
            <w:gridSpan w:val="2"/>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畜牧与饲料科学</w:t>
            </w:r>
          </w:p>
        </w:tc>
        <w:tc>
          <w:tcPr>
            <w:tcW w:w="103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rPr>
              <w:t>吴娇颖</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黄世洋</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黎庶凯</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聂良文</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潘启寿</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曾燕蓉</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 xml:space="preserve">陆瑞好 </w:t>
            </w:r>
          </w:p>
        </w:tc>
        <w:tc>
          <w:tcPr>
            <w:tcW w:w="97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Times New Roman" w:hAnsi="Times New Roman" w:eastAsia="宋体" w:cs="Times New Roman"/>
                <w:i w:val="0"/>
                <w:iCs w:val="0"/>
                <w:color w:val="000000"/>
                <w:sz w:val="18"/>
                <w:szCs w:val="18"/>
                <w:u w:val="none"/>
                <w:lang w:val="en-US" w:eastAsia="zh-CN"/>
              </w:rPr>
              <w:t>2018，39（1）:11-14</w:t>
            </w:r>
          </w:p>
        </w:tc>
        <w:tc>
          <w:tcPr>
            <w:tcW w:w="85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Times New Roman" w:hAnsi="Times New Roman" w:eastAsia="宋体" w:cs="Times New Roman"/>
                <w:i w:val="0"/>
                <w:iCs w:val="0"/>
                <w:color w:val="000000"/>
                <w:sz w:val="18"/>
                <w:szCs w:val="18"/>
                <w:u w:val="none"/>
                <w:lang w:val="en-US" w:eastAsia="zh-CN"/>
              </w:rPr>
              <w:t>2018年3月30日</w:t>
            </w:r>
          </w:p>
        </w:tc>
        <w:tc>
          <w:tcPr>
            <w:tcW w:w="10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rPr>
              <w:t>吴娇颖</w:t>
            </w:r>
          </w:p>
        </w:tc>
        <w:tc>
          <w:tcPr>
            <w:tcW w:w="783"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广西壮族自治区牧草工作站，广西壮族自治区蚕业技术推广站</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ascii="仿宋_GB2312" w:hAnsi="仿宋_GB2312" w:eastAsia="仿宋_GB2312" w:cs="仿宋_GB2312"/>
                <w:bCs/>
                <w:szCs w:val="21"/>
              </w:rPr>
            </w:pPr>
            <w:r>
              <w:rPr>
                <w:rFonts w:hint="default" w:ascii="方正黑体_GBK" w:eastAsia="方正黑体_GBK"/>
                <w:snapToGrid w:val="0"/>
                <w:color w:val="000000"/>
                <w:sz w:val="18"/>
                <w:szCs w:val="18"/>
                <w:lang w:val="en-US" w:eastAsia="zh-CN"/>
              </w:rPr>
              <w:t>桑枝叶微贮饲料不同饲喂水平对山羊生长和屠宰性能的影响</w:t>
            </w:r>
          </w:p>
        </w:tc>
        <w:tc>
          <w:tcPr>
            <w:tcW w:w="1170" w:type="dxa"/>
            <w:gridSpan w:val="2"/>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lang w:val="en-US" w:eastAsia="zh-CN"/>
              </w:rPr>
              <w:t>云南畜牧兽医</w:t>
            </w:r>
          </w:p>
        </w:tc>
        <w:tc>
          <w:tcPr>
            <w:tcW w:w="1035"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rPr>
              <w:t>黄志荣，梁源春</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黄世洋</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潘启寿</w:t>
            </w:r>
          </w:p>
        </w:tc>
        <w:tc>
          <w:tcPr>
            <w:tcW w:w="975"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default" w:ascii="Times New Roman" w:hAnsi="Times New Roman" w:eastAsia="宋体" w:cs="Times New Roman"/>
                <w:i w:val="0"/>
                <w:iCs w:val="0"/>
                <w:color w:val="000000"/>
                <w:sz w:val="18"/>
                <w:szCs w:val="18"/>
                <w:u w:val="none"/>
                <w:lang w:val="en-US" w:eastAsia="zh-CN"/>
              </w:rPr>
              <w:t>2018</w:t>
            </w:r>
            <w:r>
              <w:rPr>
                <w:rFonts w:hint="eastAsia" w:ascii="Times New Roman" w:hAnsi="Times New Roman" w:eastAsia="宋体" w:cs="Times New Roman"/>
                <w:i w:val="0"/>
                <w:iCs w:val="0"/>
                <w:color w:val="000000"/>
                <w:sz w:val="18"/>
                <w:szCs w:val="18"/>
                <w:u w:val="none"/>
                <w:lang w:val="en-US" w:eastAsia="zh-CN"/>
              </w:rPr>
              <w:t>，</w:t>
            </w:r>
            <w:r>
              <w:rPr>
                <w:rFonts w:hint="default" w:ascii="Times New Roman" w:hAnsi="Times New Roman" w:eastAsia="宋体" w:cs="Times New Roman"/>
                <w:i w:val="0"/>
                <w:iCs w:val="0"/>
                <w:color w:val="000000"/>
                <w:sz w:val="18"/>
                <w:szCs w:val="18"/>
                <w:u w:val="none"/>
                <w:lang w:val="en-US" w:eastAsia="zh-CN"/>
              </w:rPr>
              <w:t>(6): 1-4</w:t>
            </w:r>
          </w:p>
        </w:tc>
        <w:tc>
          <w:tcPr>
            <w:tcW w:w="855"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Times New Roman" w:hAnsi="Times New Roman" w:eastAsia="宋体" w:cs="Times New Roman"/>
                <w:i w:val="0"/>
                <w:iCs w:val="0"/>
                <w:color w:val="000000"/>
                <w:sz w:val="18"/>
                <w:szCs w:val="18"/>
                <w:u w:val="none"/>
                <w:lang w:val="en-US" w:eastAsia="zh-CN"/>
              </w:rPr>
              <w:t>2018年12月30日</w:t>
            </w:r>
          </w:p>
        </w:tc>
        <w:tc>
          <w:tcPr>
            <w:tcW w:w="1034"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rPr>
              <w:t>潘启寿</w:t>
            </w:r>
          </w:p>
        </w:tc>
        <w:tc>
          <w:tcPr>
            <w:tcW w:w="883" w:type="dxa"/>
            <w:tcMar>
              <w:left w:w="57" w:type="dxa"/>
              <w:right w:w="57" w:type="dxa"/>
            </w:tcMar>
            <w:vAlign w:val="center"/>
          </w:tcPr>
          <w:p>
            <w:pPr>
              <w:spacing w:line="260" w:lineRule="exact"/>
              <w:jc w:val="center"/>
              <w:rPr>
                <w:rFonts w:hint="eastAsia" w:ascii="宋体" w:hAnsi="宋体" w:eastAsia="宋体" w:cs="宋体"/>
                <w:i w:val="0"/>
                <w:iCs w:val="0"/>
                <w:color w:val="000000"/>
                <w:sz w:val="18"/>
                <w:szCs w:val="18"/>
                <w:u w:val="none"/>
              </w:rPr>
            </w:pPr>
          </w:p>
          <w:p>
            <w:pPr>
              <w:spacing w:line="260" w:lineRule="exact"/>
              <w:jc w:val="center"/>
              <w:rPr>
                <w:rFonts w:hint="eastAsia" w:ascii="宋体" w:hAnsi="宋体" w:eastAsia="宋体" w:cs="宋体"/>
                <w:i w:val="0"/>
                <w:iCs w:val="0"/>
                <w:color w:val="000000"/>
                <w:sz w:val="18"/>
                <w:szCs w:val="18"/>
                <w:u w:val="none"/>
              </w:rPr>
            </w:pPr>
          </w:p>
          <w:p>
            <w:pPr>
              <w:spacing w:line="260" w:lineRule="exact"/>
              <w:jc w:val="center"/>
              <w:rPr>
                <w:rFonts w:hint="eastAsia" w:ascii="宋体" w:hAnsi="宋体" w:eastAsia="宋体" w:cs="宋体"/>
                <w:i w:val="0"/>
                <w:iCs w:val="0"/>
                <w:color w:val="000000"/>
                <w:sz w:val="18"/>
                <w:szCs w:val="18"/>
                <w:u w:val="none"/>
              </w:rPr>
            </w:pPr>
          </w:p>
          <w:p>
            <w:pPr>
              <w:spacing w:line="260" w:lineRule="exact"/>
              <w:jc w:val="center"/>
              <w:rPr>
                <w:rFonts w:hint="eastAsia" w:ascii="宋体" w:hAnsi="宋体" w:eastAsia="宋体" w:cs="宋体"/>
                <w:i w:val="0"/>
                <w:iCs w:val="0"/>
                <w:color w:val="000000"/>
                <w:sz w:val="18"/>
                <w:szCs w:val="18"/>
                <w:u w:val="none"/>
              </w:rPr>
            </w:pPr>
          </w:p>
          <w:p>
            <w:pPr>
              <w:spacing w:line="260" w:lineRule="exact"/>
              <w:jc w:val="center"/>
              <w:rPr>
                <w:rFonts w:hint="eastAsia" w:ascii="宋体" w:hAnsi="宋体" w:eastAsia="宋体" w:cs="宋体"/>
                <w:i w:val="0"/>
                <w:iCs w:val="0"/>
                <w:color w:val="000000"/>
                <w:sz w:val="18"/>
                <w:szCs w:val="18"/>
                <w:u w:val="none"/>
              </w:rPr>
            </w:pPr>
          </w:p>
          <w:p>
            <w:pPr>
              <w:spacing w:line="260" w:lineRule="exact"/>
              <w:jc w:val="center"/>
              <w:rPr>
                <w:rFonts w:hint="eastAsia" w:ascii="宋体" w:hAnsi="宋体" w:eastAsia="宋体" w:cs="宋体"/>
                <w:i w:val="0"/>
                <w:iCs w:val="0"/>
                <w:color w:val="000000"/>
                <w:sz w:val="18"/>
                <w:szCs w:val="18"/>
                <w:u w:val="none"/>
              </w:rPr>
            </w:pPr>
          </w:p>
          <w:p>
            <w:pPr>
              <w:spacing w:line="260" w:lineRule="exact"/>
              <w:jc w:val="center"/>
              <w:rPr>
                <w:rFonts w:ascii="仿宋_GB2312" w:hAnsi="仿宋_GB2312" w:eastAsia="仿宋_GB2312" w:cs="仿宋_GB2312"/>
                <w:bCs/>
                <w:szCs w:val="21"/>
              </w:rPr>
            </w:pPr>
            <w:r>
              <w:rPr>
                <w:rFonts w:hint="eastAsia" w:ascii="宋体" w:hAnsi="宋体" w:eastAsia="宋体" w:cs="宋体"/>
                <w:i w:val="0"/>
                <w:iCs w:val="0"/>
                <w:color w:val="000000"/>
                <w:sz w:val="18"/>
                <w:szCs w:val="18"/>
                <w:u w:val="none"/>
              </w:rPr>
              <w:t>黄志荣</w:t>
            </w:r>
          </w:p>
        </w:tc>
        <w:tc>
          <w:tcPr>
            <w:tcW w:w="783" w:type="dxa"/>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方正黑体_GBK" w:eastAsia="方正黑体_GBK"/>
                <w:snapToGrid w:val="0"/>
                <w:color w:val="000000"/>
                <w:sz w:val="18"/>
                <w:szCs w:val="18"/>
                <w:lang w:val="en-US" w:eastAsia="zh-CN"/>
              </w:rPr>
              <w:t>扶绥县动物疫病预防控制中心，大化县大化镇水产畜牧兽医站，南宁金羴农牧发展有限公司，广西农业科学院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adjustRightInd w:val="0"/>
              <w:snapToGrid w:val="0"/>
              <w:spacing w:line="280" w:lineRule="exact"/>
              <w:jc w:val="center"/>
              <w:rPr>
                <w:rFonts w:hint="eastAsia" w:ascii="宋体" w:hAnsi="宋体" w:eastAsia="宋体" w:cs="宋体"/>
                <w:i w:val="0"/>
                <w:iCs w:val="0"/>
                <w:color w:val="000000"/>
                <w:kern w:val="0"/>
                <w:sz w:val="18"/>
                <w:szCs w:val="18"/>
                <w:u w:val="none"/>
                <w:lang w:val="en-US" w:eastAsia="zh-CN" w:bidi="ar"/>
              </w:rPr>
            </w:pPr>
            <w:r>
              <w:rPr>
                <w:rFonts w:hint="eastAsia" w:ascii="方正黑体_GBK" w:eastAsia="方正黑体_GBK"/>
                <w:snapToGrid w:val="0"/>
                <w:color w:val="000000"/>
                <w:sz w:val="18"/>
                <w:szCs w:val="18"/>
                <w:lang w:val="en-US" w:eastAsia="zh-CN"/>
              </w:rPr>
              <w:t>不同菌种产品微贮桑枝秸秆试验效果初报</w:t>
            </w:r>
          </w:p>
        </w:tc>
        <w:tc>
          <w:tcPr>
            <w:tcW w:w="1170" w:type="dxa"/>
            <w:gridSpan w:val="2"/>
            <w:tcMar>
              <w:left w:w="57" w:type="dxa"/>
              <w:right w:w="57" w:type="dxa"/>
            </w:tcMar>
            <w:vAlign w:val="center"/>
          </w:tcPr>
          <w:p>
            <w:pPr>
              <w:keepNext w:val="0"/>
              <w:keepLines w:val="0"/>
              <w:widowControl/>
              <w:suppressLineNumbers w:val="0"/>
              <w:jc w:val="center"/>
              <w:textAlignment w:val="center"/>
              <w:rPr>
                <w:rFonts w:ascii="仿宋_GB2312" w:hAnsi="仿宋_GB2312" w:eastAsia="仿宋_GB2312" w:cs="仿宋_GB2312"/>
                <w:bCs/>
                <w:szCs w:val="21"/>
              </w:rPr>
            </w:pPr>
            <w:r>
              <w:rPr>
                <w:rFonts w:hint="eastAsia" w:ascii="宋体" w:hAnsi="宋体" w:eastAsia="宋体" w:cs="宋体"/>
                <w:i w:val="0"/>
                <w:iCs w:val="0"/>
                <w:color w:val="000000"/>
                <w:kern w:val="0"/>
                <w:sz w:val="18"/>
                <w:szCs w:val="18"/>
                <w:u w:val="none"/>
                <w:lang w:val="en-US" w:eastAsia="zh-CN" w:bidi="ar"/>
              </w:rPr>
              <w:t>广西畜牧兽医</w:t>
            </w:r>
          </w:p>
        </w:tc>
        <w:tc>
          <w:tcPr>
            <w:tcW w:w="1035" w:type="dxa"/>
            <w:tcMar>
              <w:left w:w="57" w:type="dxa"/>
              <w:right w:w="57" w:type="dxa"/>
            </w:tcMar>
            <w:vAlign w:val="center"/>
          </w:tcPr>
          <w:p>
            <w:pPr>
              <w:keepNext w:val="0"/>
              <w:keepLines w:val="0"/>
              <w:widowControl/>
              <w:suppressLineNumbers w:val="0"/>
              <w:jc w:val="center"/>
              <w:textAlignment w:val="center"/>
              <w:rPr>
                <w:rFonts w:hint="eastAsia" w:ascii="黑体" w:hAnsi="黑体" w:eastAsia="黑体" w:cs="黑体"/>
                <w:bCs/>
                <w:sz w:val="18"/>
                <w:szCs w:val="18"/>
                <w:lang w:val="en-US" w:eastAsia="zh-CN"/>
              </w:rPr>
            </w:pPr>
            <w:r>
              <w:rPr>
                <w:rFonts w:hint="eastAsia" w:ascii="宋体" w:hAnsi="宋体" w:eastAsia="宋体" w:cs="宋体"/>
                <w:i w:val="0"/>
                <w:iCs w:val="0"/>
                <w:color w:val="000000"/>
                <w:sz w:val="18"/>
                <w:szCs w:val="18"/>
                <w:u w:val="none"/>
              </w:rPr>
              <w:t>黄世洋</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 xml:space="preserve">黄华莉，黄文丽 ，黄志荣 </w:t>
            </w:r>
            <w:r>
              <w:rPr>
                <w:rFonts w:hint="eastAsia" w:ascii="宋体" w:hAnsi="宋体" w:eastAsia="宋体" w:cs="宋体"/>
                <w:i w:val="0"/>
                <w:iCs w:val="0"/>
                <w:color w:val="000000"/>
                <w:sz w:val="18"/>
                <w:szCs w:val="18"/>
                <w:u w:val="none"/>
                <w:lang w:eastAsia="zh-CN"/>
              </w:rPr>
              <w:t>，</w:t>
            </w:r>
            <w:r>
              <w:rPr>
                <w:rFonts w:hint="eastAsia" w:ascii="宋体" w:hAnsi="宋体" w:eastAsia="宋体" w:cs="宋体"/>
                <w:i w:val="0"/>
                <w:iCs w:val="0"/>
                <w:color w:val="000000"/>
                <w:sz w:val="18"/>
                <w:szCs w:val="18"/>
                <w:u w:val="none"/>
              </w:rPr>
              <w:t>梁源春</w:t>
            </w:r>
          </w:p>
        </w:tc>
        <w:tc>
          <w:tcPr>
            <w:tcW w:w="975" w:type="dxa"/>
            <w:tcMar>
              <w:left w:w="57" w:type="dxa"/>
              <w:right w:w="57"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2018,第34卷(3): 142-145</w:t>
            </w:r>
          </w:p>
        </w:tc>
        <w:tc>
          <w:tcPr>
            <w:tcW w:w="855" w:type="dxa"/>
            <w:tcMar>
              <w:left w:w="57" w:type="dxa"/>
              <w:right w:w="57" w:type="dxa"/>
            </w:tcMar>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18"/>
                <w:szCs w:val="18"/>
                <w:u w:val="none"/>
                <w:lang w:val="en-US" w:eastAsia="zh-CN" w:bidi="ar"/>
              </w:rPr>
            </w:pPr>
            <w:r>
              <w:rPr>
                <w:rFonts w:hint="eastAsia" w:ascii="Times New Roman" w:hAnsi="Times New Roman" w:eastAsia="宋体" w:cs="Times New Roman"/>
                <w:i w:val="0"/>
                <w:iCs w:val="0"/>
                <w:color w:val="000000"/>
                <w:kern w:val="0"/>
                <w:sz w:val="18"/>
                <w:szCs w:val="18"/>
                <w:u w:val="none"/>
                <w:lang w:val="en-US" w:eastAsia="zh-CN" w:bidi="ar"/>
              </w:rPr>
              <w:t>2018年9月30日</w:t>
            </w:r>
          </w:p>
        </w:tc>
        <w:tc>
          <w:tcPr>
            <w:tcW w:w="1034"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梁源春</w:t>
            </w:r>
          </w:p>
        </w:tc>
        <w:tc>
          <w:tcPr>
            <w:tcW w:w="883" w:type="dxa"/>
            <w:tcMar>
              <w:left w:w="57" w:type="dxa"/>
              <w:right w:w="57" w:type="dxa"/>
            </w:tcMar>
            <w:vAlign w:val="center"/>
          </w:tcPr>
          <w:p>
            <w:pPr>
              <w:spacing w:line="260" w:lineRule="exact"/>
              <w:jc w:val="center"/>
              <w:rPr>
                <w:rFonts w:hint="eastAsia" w:ascii="方正黑体_GBK" w:eastAsia="方正黑体_GBK"/>
                <w:snapToGrid w:val="0"/>
                <w:color w:val="000000"/>
                <w:sz w:val="18"/>
                <w:szCs w:val="18"/>
                <w:lang w:val="en-US" w:eastAsia="zh-CN"/>
              </w:rPr>
            </w:pPr>
            <w:r>
              <w:rPr>
                <w:rFonts w:hint="eastAsia" w:ascii="宋体" w:hAnsi="宋体" w:eastAsia="宋体" w:cs="宋体"/>
                <w:i w:val="0"/>
                <w:iCs w:val="0"/>
                <w:color w:val="000000"/>
                <w:sz w:val="18"/>
                <w:szCs w:val="18"/>
                <w:u w:val="none"/>
                <w:lang w:val="en-US" w:eastAsia="zh-CN"/>
              </w:rPr>
              <w:t>黄世洋</w:t>
            </w:r>
          </w:p>
        </w:tc>
        <w:tc>
          <w:tcPr>
            <w:tcW w:w="783"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方正黑体_GBK" w:eastAsia="方正黑体_GBK"/>
                <w:snapToGrid w:val="0"/>
                <w:color w:val="000000"/>
                <w:sz w:val="18"/>
                <w:szCs w:val="18"/>
                <w:lang w:val="en-US" w:eastAsia="zh-CN"/>
              </w:rPr>
              <w:t>广西壮族自治区牧草工作站，扶绥县动物疫病预防控制中心，大化县大化镇水产畜牧兽医站</w:t>
            </w:r>
          </w:p>
        </w:tc>
        <w:tc>
          <w:tcPr>
            <w:tcW w:w="834" w:type="dxa"/>
            <w:tcMar>
              <w:left w:w="57" w:type="dxa"/>
              <w:right w:w="57" w:type="dxa"/>
            </w:tcMar>
            <w:vAlign w:val="center"/>
          </w:tcPr>
          <w:p>
            <w:pPr>
              <w:spacing w:line="260" w:lineRule="exact"/>
              <w:jc w:val="center"/>
              <w:rPr>
                <w:rFonts w:hint="eastAsia" w:ascii="宋体" w:hAnsi="宋体" w:eastAsia="宋体" w:cs="宋体"/>
                <w:i w:val="0"/>
                <w:iCs w:val="0"/>
                <w:color w:val="000000"/>
                <w:sz w:val="18"/>
                <w:szCs w:val="18"/>
                <w:u w:val="none"/>
                <w:lang w:val="en-US" w:eastAsia="zh-CN"/>
              </w:rPr>
            </w:pPr>
          </w:p>
        </w:tc>
        <w:tc>
          <w:tcPr>
            <w:tcW w:w="1206" w:type="dxa"/>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提名意见：</w:t>
            </w:r>
          </w:p>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成果《桑树饲料化开发关键技术及应用》由广西蚕业技术推广站联合广西大学和山东芳华农业发展有限公司等产学研单位共同实施，开展桑树饲料化开发的科技攻关，历经八年努力，在桑树饲料化的品种选育、加工技术、收割加工设备和配方技术等四个方面取得突破性成果，极大地推动国家的桑树饲料化及产业化开发。</w:t>
            </w:r>
          </w:p>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该成果制定广西地方标准1项，授权发明专利5项，授权实用新型专利6项。2021-2023年，在广西区内外应用，生产桑树联合收割机278部和桑树饲料生产线164条，饲养牛</w:t>
            </w:r>
            <w:r>
              <w:rPr>
                <w:rFonts w:hint="eastAsia" w:ascii="仿宋_GB2312" w:hAnsi="仿宋_GB2312" w:eastAsia="仿宋_GB2312" w:cs="仿宋_GB2312"/>
                <w:szCs w:val="21"/>
                <w:lang w:val="en-US" w:eastAsia="zh-CN"/>
              </w:rPr>
              <w:t>15</w:t>
            </w:r>
            <w:r>
              <w:rPr>
                <w:rFonts w:hint="eastAsia" w:ascii="仿宋_GB2312" w:hAnsi="仿宋_GB2312" w:eastAsia="仿宋_GB2312" w:cs="仿宋_GB2312"/>
                <w:szCs w:val="21"/>
              </w:rPr>
              <w:t>万头和羊</w:t>
            </w: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0.78万只，饲养</w:t>
            </w:r>
            <w:r>
              <w:rPr>
                <w:rFonts w:hint="eastAsia" w:ascii="仿宋_GB2312" w:hAnsi="仿宋_GB2312" w:eastAsia="仿宋_GB2312" w:cs="仿宋_GB2312"/>
                <w:szCs w:val="21"/>
                <w:lang w:eastAsia="zh-CN"/>
              </w:rPr>
              <w:t>鸡鸭鹅等高品质</w:t>
            </w:r>
            <w:r>
              <w:rPr>
                <w:rFonts w:hint="eastAsia" w:ascii="仿宋_GB2312" w:hAnsi="仿宋_GB2312" w:eastAsia="仿宋_GB2312" w:cs="仿宋_GB2312"/>
                <w:szCs w:val="21"/>
              </w:rPr>
              <w:t>家禽</w:t>
            </w:r>
            <w:r>
              <w:rPr>
                <w:rFonts w:hint="eastAsia" w:ascii="仿宋_GB2312" w:hAnsi="仿宋_GB2312" w:eastAsia="仿宋_GB2312" w:cs="仿宋_GB2312"/>
                <w:szCs w:val="21"/>
                <w:lang w:val="en-US" w:eastAsia="zh-CN"/>
              </w:rPr>
              <w:t>6899.78</w:t>
            </w:r>
            <w:r>
              <w:rPr>
                <w:rFonts w:hint="eastAsia" w:ascii="仿宋_GB2312" w:hAnsi="仿宋_GB2312" w:eastAsia="仿宋_GB2312" w:cs="仿宋_GB2312"/>
                <w:szCs w:val="21"/>
              </w:rPr>
              <w:t>万羽，新增销售额</w:t>
            </w:r>
            <w:r>
              <w:rPr>
                <w:rFonts w:hint="eastAsia" w:ascii="仿宋_GB2312" w:hAnsi="仿宋_GB2312" w:eastAsia="仿宋_GB2312" w:cs="仿宋_GB2312"/>
                <w:szCs w:val="21"/>
                <w:lang w:val="en-US" w:eastAsia="zh-CN"/>
              </w:rPr>
              <w:t>29.61</w:t>
            </w:r>
            <w:r>
              <w:rPr>
                <w:rFonts w:hint="eastAsia" w:ascii="仿宋_GB2312" w:hAnsi="仿宋_GB2312" w:eastAsia="仿宋_GB2312" w:cs="仿宋_GB2312"/>
                <w:szCs w:val="21"/>
              </w:rPr>
              <w:t>亿元。</w:t>
            </w:r>
          </w:p>
          <w:p>
            <w:pPr>
              <w:spacing w:line="240" w:lineRule="exact"/>
              <w:ind w:firstLine="420" w:firstLineChars="200"/>
              <w:jc w:val="left"/>
              <w:rPr>
                <w:rFonts w:hint="eastAsia" w:ascii="仿宋_GB2312" w:hAnsi="仿宋_GB2312" w:eastAsia="仿宋_GB2312" w:cs="仿宋_GB2312"/>
                <w:szCs w:val="21"/>
              </w:rPr>
            </w:pPr>
            <w:r>
              <w:rPr>
                <w:rFonts w:hint="eastAsia" w:ascii="仿宋_GB2312" w:hAnsi="仿宋_GB2312" w:eastAsia="仿宋_GB2312" w:cs="仿宋_GB2312"/>
                <w:szCs w:val="21"/>
              </w:rPr>
              <w:t>该成果填补了广西在桑树饲料化研究的空白，对于广西畜牧产业和桑蚕产业的转型升级及乡村振兴、无抗养殖等作用巨大。</w:t>
            </w:r>
          </w:p>
          <w:p>
            <w:pPr>
              <w:spacing w:line="2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根据《广西科学技术奖励办法》《广西科学</w:t>
            </w:r>
            <w:r>
              <w:rPr>
                <w:rFonts w:hint="eastAsia" w:ascii="仿宋_GB2312" w:hAnsi="仿宋_GB2312" w:eastAsia="仿宋_GB2312" w:cs="仿宋_GB2312"/>
                <w:bCs/>
                <w:spacing w:val="2"/>
                <w:szCs w:val="21"/>
              </w:rPr>
              <w:t>技术奖励办法实施细则》相关规定，提名该个人、组织为技术</w:t>
            </w:r>
            <w:r>
              <w:rPr>
                <w:rFonts w:hint="eastAsia" w:ascii="仿宋_GB2312" w:hAnsi="仿宋_GB2312" w:eastAsia="仿宋_GB2312" w:cs="仿宋_GB2312"/>
                <w:bCs/>
                <w:spacing w:val="2"/>
                <w:szCs w:val="21"/>
                <w:lang w:eastAsia="zh-CN"/>
              </w:rPr>
              <w:t>发明</w:t>
            </w:r>
            <w:r>
              <w:rPr>
                <w:rFonts w:hint="eastAsia" w:ascii="仿宋_GB2312" w:hAnsi="仿宋_GB2312" w:eastAsia="仿宋_GB2312" w:cs="仿宋_GB2312"/>
                <w:bCs/>
                <w:spacing w:val="2"/>
                <w:szCs w:val="21"/>
              </w:rPr>
              <w:t>奖</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u w:val="single"/>
                <w:lang w:eastAsia="zh-CN"/>
              </w:rPr>
              <w:t>一</w:t>
            </w:r>
            <w:r>
              <w:rPr>
                <w:rFonts w:hint="eastAsia" w:ascii="仿宋_GB2312" w:hAnsi="仿宋_GB2312" w:eastAsia="仿宋_GB2312" w:cs="仿宋_GB2312"/>
                <w:bCs/>
                <w:spacing w:val="2"/>
                <w:szCs w:val="21"/>
                <w:u w:val="single"/>
              </w:rPr>
              <w:t xml:space="preserve">  </w:t>
            </w:r>
            <w:r>
              <w:rPr>
                <w:rFonts w:hint="eastAsia" w:ascii="仿宋_GB2312" w:hAnsi="仿宋_GB2312" w:eastAsia="仿宋_GB2312" w:cs="仿宋_GB2312"/>
                <w:bCs/>
                <w:spacing w:val="2"/>
                <w:szCs w:val="21"/>
              </w:rPr>
              <w:t>等奖候选个人、候选组织。</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9980" w:type="dxa"/>
            <w:gridSpan w:val="11"/>
            <w:tcMar>
              <w:left w:w="57" w:type="dxa"/>
              <w:right w:w="57" w:type="dxa"/>
            </w:tcMar>
          </w:tcPr>
          <w:p>
            <w:pPr>
              <w:spacing w:line="240" w:lineRule="exact"/>
              <w:rPr>
                <w:rFonts w:ascii="仿宋_GB2312" w:hAnsi="仿宋_GB2312" w:eastAsia="仿宋_GB2312" w:cs="仿宋_GB2312"/>
                <w:sz w:val="21"/>
                <w:szCs w:val="21"/>
              </w:rPr>
            </w:pPr>
            <w:r>
              <w:rPr>
                <w:rFonts w:hint="eastAsia" w:ascii="仿宋_GB2312" w:hAnsi="仿宋_GB2312" w:eastAsia="仿宋_GB2312" w:cs="仿宋_GB2312"/>
                <w:szCs w:val="21"/>
              </w:rPr>
              <w:t>第一候选组织简介（不超过100字）：</w:t>
            </w:r>
            <w:r>
              <w:rPr>
                <w:rFonts w:hint="eastAsia" w:ascii="仿宋_GB2312" w:hAnsi="仿宋_GB2312" w:eastAsia="仿宋_GB2312" w:cs="仿宋_GB2312"/>
                <w:sz w:val="21"/>
                <w:szCs w:val="21"/>
                <w:lang w:val="en-US" w:eastAsia="zh-CN"/>
              </w:rPr>
              <w:t>本组织位于广西南宁市西乡塘下均路10号，始建于1964年，隶属于广西壮族自治区农业农村厅，为全额拨款事业单位，是全国唯一一家集蚕桑科学研究、良种繁育、技术推广和蚕种质量管理等职能于一体的省级综合性专业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成果简介（不超过200字）：</w:t>
            </w:r>
            <w:r>
              <w:rPr>
                <w:rFonts w:hint="eastAsia" w:ascii="仿宋_GB2312" w:hAnsi="仿宋_GB2312" w:eastAsia="仿宋_GB2312" w:cs="仿宋_GB2312"/>
                <w:kern w:val="2"/>
                <w:sz w:val="21"/>
                <w:szCs w:val="21"/>
                <w:lang w:val="en-US" w:eastAsia="zh-CN" w:bidi="ar-SA"/>
              </w:rPr>
              <w:t>本成果属于畜牧学及桑蚕学领域，内容涵盖饲料桑品种选育、桑树饲料化优质高效加工技术、桑树饲料化收割及加工设备、桑树饲料配方技术等关键技术，打造桑树饲料化开发全产业链，增强国家粮食安全，助力乡村振兴。制定广西地方标准1项，授权发明专利5项，授权实用新型专利6项。2021-2023年，在广西区内外应用，生产桑树联合收割机278部和桑树饲料生产线164条，饲养牛15万头和羊10.78万只，饲养鸡鸭鹅等高品质家禽6899.78万羽，新增销售额29.61亿元。</w:t>
            </w:r>
          </w:p>
          <w:p>
            <w:pPr>
              <w:pStyle w:val="5"/>
              <w:spacing w:line="240" w:lineRule="exact"/>
              <w:jc w:val="both"/>
              <w:rPr>
                <w:rFonts w:ascii="仿宋_GB2312" w:hAnsi="仿宋_GB2312" w:eastAsia="仿宋_GB2312" w:cs="仿宋_GB2312"/>
                <w:sz w:val="21"/>
                <w:szCs w:val="21"/>
              </w:rPr>
            </w:pPr>
          </w:p>
        </w:tc>
      </w:tr>
    </w:tbl>
    <w:p>
      <w:pPr>
        <w:pStyle w:val="11"/>
        <w:spacing w:line="240" w:lineRule="exact"/>
        <w:rPr>
          <w:sz w:val="21"/>
          <w:szCs w:val="21"/>
        </w:rPr>
      </w:pPr>
    </w:p>
    <w:p/>
    <w:p>
      <w:pPr>
        <w:adjustRightInd w:val="0"/>
        <w:snapToGrid w:val="0"/>
        <w:spacing w:line="406" w:lineRule="exact"/>
        <w:jc w:val="center"/>
        <w:outlineLvl w:val="1"/>
        <w:rPr>
          <w:rStyle w:val="13"/>
          <w:rFonts w:hint="default" w:ascii="Times New Roman" w:eastAsia="方正黑体_GBK"/>
          <w:b w:val="0"/>
          <w:bCs w:val="0"/>
          <w:snapToGrid w:val="0"/>
          <w:color w:val="000000"/>
          <w:kern w:val="2"/>
          <w:sz w:val="28"/>
          <w:szCs w:val="28"/>
        </w:rPr>
      </w:pPr>
      <w:r>
        <w:rPr>
          <w:rStyle w:val="13"/>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adjustRightInd w:val="0"/>
              <w:snapToGrid w:val="0"/>
              <w:spacing w:line="406" w:lineRule="exact"/>
              <w:rPr>
                <w:snapToGrid w:val="0"/>
                <w:color w:val="000000"/>
                <w:szCs w:val="21"/>
              </w:rPr>
            </w:pPr>
            <w:r>
              <w:rPr>
                <w:snapToGrid w:val="0"/>
                <w:color w:val="000000"/>
                <w:szCs w:val="21"/>
              </w:rPr>
              <w:t>（候选个人不在同一工作单位的，应填写该说明。</w:t>
            </w:r>
            <w:r>
              <w:rPr>
                <w:b/>
                <w:bCs/>
                <w:snapToGrid w:val="0"/>
                <w:color w:val="000000"/>
                <w:szCs w:val="21"/>
              </w:rPr>
              <w:t>候选个人均为同一单位则不用填写该说明。</w:t>
            </w:r>
            <w:r>
              <w:rPr>
                <w:snapToGrid w:val="0"/>
                <w:color w:val="000000"/>
                <w:szCs w:val="21"/>
              </w:rPr>
              <w:t>）</w:t>
            </w: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rFonts w:hint="default"/>
                <w:snapToGrid w:val="0"/>
                <w:color w:val="000000"/>
                <w:sz w:val="28"/>
                <w:szCs w:val="28"/>
                <w:lang w:val="en-US" w:eastAsia="zh-CN"/>
              </w:rPr>
            </w:pPr>
            <w:r>
              <w:rPr>
                <w:rFonts w:hint="eastAsia"/>
                <w:snapToGrid w:val="0"/>
                <w:color w:val="000000"/>
                <w:sz w:val="28"/>
                <w:szCs w:val="28"/>
                <w:lang w:val="en-US" w:eastAsia="zh-CN"/>
              </w:rPr>
              <w:t>1、黄世洋，广西大学正</w:t>
            </w:r>
            <w:r>
              <w:rPr>
                <w:rFonts w:hint="eastAsia"/>
                <w:snapToGrid w:val="0"/>
                <w:color w:val="000000"/>
                <w:sz w:val="28"/>
                <w:szCs w:val="28"/>
                <w:lang w:eastAsia="zh-CN"/>
              </w:rPr>
              <w:t>高级畜牧师，从</w:t>
            </w:r>
            <w:r>
              <w:rPr>
                <w:rFonts w:hint="eastAsia"/>
                <w:snapToGrid w:val="0"/>
                <w:color w:val="000000"/>
                <w:sz w:val="28"/>
                <w:szCs w:val="28"/>
                <w:lang w:val="en-US" w:eastAsia="zh-CN"/>
              </w:rPr>
              <w:t>2015年开始加入课题组，主要负责饲料桑品种选育、桑枝微贮饲料加工技术、桑饲料加工设备和桑饲料配方技术等方面的研究，同时也牵头相关技术成果的推广应用。</w:t>
            </w:r>
          </w:p>
          <w:p>
            <w:pPr>
              <w:adjustRightInd w:val="0"/>
              <w:snapToGrid w:val="0"/>
              <w:spacing w:line="406" w:lineRule="exact"/>
              <w:ind w:firstLine="560" w:firstLineChars="200"/>
              <w:rPr>
                <w:rFonts w:hint="eastAsia"/>
                <w:snapToGrid w:val="0"/>
                <w:color w:val="000000"/>
                <w:sz w:val="28"/>
                <w:szCs w:val="28"/>
                <w:lang w:val="en-US" w:eastAsia="zh-CN"/>
              </w:rPr>
            </w:pPr>
            <w:r>
              <w:rPr>
                <w:rFonts w:hint="eastAsia"/>
                <w:snapToGrid w:val="0"/>
                <w:color w:val="000000"/>
                <w:sz w:val="28"/>
                <w:szCs w:val="28"/>
                <w:lang w:val="en-US" w:eastAsia="zh-CN"/>
              </w:rPr>
              <w:t>2、王志坚，山东芳华农业发展有限公司董事长，</w:t>
            </w:r>
            <w:r>
              <w:rPr>
                <w:rFonts w:hint="eastAsia"/>
                <w:snapToGrid w:val="0"/>
                <w:color w:val="000000"/>
                <w:sz w:val="28"/>
                <w:szCs w:val="28"/>
                <w:lang w:eastAsia="zh-CN"/>
              </w:rPr>
              <w:t>从</w:t>
            </w:r>
            <w:r>
              <w:rPr>
                <w:rFonts w:hint="eastAsia"/>
                <w:snapToGrid w:val="0"/>
                <w:color w:val="000000"/>
                <w:sz w:val="28"/>
                <w:szCs w:val="28"/>
                <w:lang w:val="en-US" w:eastAsia="zh-CN"/>
              </w:rPr>
              <w:t>2015年开始加入课题组，主要负责桑树大型联合收割机和桑饲料加工设备的研发，同时，山东芳华农业发展有限公司也是国内桑饲料相关设备生产销售的龙头企业，为桑树饲料化开发提供了设备保障。</w:t>
            </w: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rPr>
                <w:snapToGrid w:val="0"/>
                <w:color w:val="000000"/>
                <w:sz w:val="28"/>
                <w:szCs w:val="28"/>
              </w:rPr>
            </w:pP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8"/>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val="en-US" w:eastAsia="zh-CN"/>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CN"/>
              </w:rPr>
              <w:t>联合研发</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val="en-US" w:eastAsia="zh-CN"/>
              </w:rPr>
              <w:t>黄世洋</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imes New Roman"/>
                <w:snapToGrid w:val="0"/>
                <w:color w:val="000000"/>
                <w:sz w:val="21"/>
                <w:szCs w:val="21"/>
                <w:lang w:val="en-US" w:eastAsia="zh-CN"/>
              </w:rPr>
              <w:t>2015</w:t>
            </w:r>
            <w:r>
              <w:rPr>
                <w:rFonts w:ascii="Times New Roman"/>
                <w:snapToGrid w:val="0"/>
                <w:color w:val="000000"/>
                <w:sz w:val="21"/>
                <w:szCs w:val="21"/>
              </w:rPr>
              <w:t>年</w:t>
            </w:r>
            <w:r>
              <w:rPr>
                <w:rFonts w:hint="eastAsia" w:ascii="Times New Roman"/>
                <w:snapToGrid w:val="0"/>
                <w:color w:val="000000"/>
                <w:sz w:val="21"/>
                <w:szCs w:val="21"/>
                <w:lang w:val="en-US" w:eastAsia="zh-CN"/>
              </w:rPr>
              <w:t>12</w:t>
            </w:r>
            <w:r>
              <w:rPr>
                <w:rFonts w:ascii="Times New Roman"/>
                <w:snapToGrid w:val="0"/>
                <w:color w:val="000000"/>
                <w:sz w:val="21"/>
                <w:szCs w:val="21"/>
              </w:rPr>
              <w:t>月</w:t>
            </w:r>
            <w:r>
              <w:rPr>
                <w:rFonts w:hint="eastAsia" w:ascii="Times New Roman"/>
                <w:snapToGrid w:val="0"/>
                <w:color w:val="000000"/>
                <w:sz w:val="21"/>
                <w:szCs w:val="21"/>
                <w:lang w:val="en-US" w:eastAsia="zh-CN"/>
              </w:rPr>
              <w:t>1</w:t>
            </w:r>
            <w:r>
              <w:rPr>
                <w:rFonts w:ascii="Times New Roman"/>
                <w:snapToGrid w:val="0"/>
                <w:color w:val="000000"/>
                <w:sz w:val="21"/>
                <w:szCs w:val="21"/>
              </w:rPr>
              <w:t xml:space="preserve"> 日</w:t>
            </w:r>
            <w:r>
              <w:rPr>
                <w:rFonts w:hint="eastAsia" w:ascii="Times New Roman"/>
                <w:snapToGrid w:val="0"/>
                <w:color w:val="000000"/>
                <w:sz w:val="21"/>
                <w:szCs w:val="21"/>
                <w:lang w:eastAsia="zh-CN"/>
              </w:rPr>
              <w:t>至</w:t>
            </w:r>
            <w:r>
              <w:rPr>
                <w:rFonts w:hint="eastAsia" w:ascii="Times New Roman"/>
                <w:snapToGrid w:val="0"/>
                <w:color w:val="000000"/>
                <w:sz w:val="21"/>
                <w:szCs w:val="21"/>
                <w:lang w:val="en-US" w:eastAsia="zh-CN"/>
              </w:rPr>
              <w:t>2024</w:t>
            </w:r>
            <w:r>
              <w:rPr>
                <w:rFonts w:ascii="Times New Roman"/>
                <w:snapToGrid w:val="0"/>
                <w:color w:val="000000"/>
                <w:sz w:val="21"/>
                <w:szCs w:val="21"/>
              </w:rPr>
              <w:t xml:space="preserve">年 </w:t>
            </w:r>
            <w:r>
              <w:rPr>
                <w:rFonts w:hint="eastAsia" w:ascii="Times New Roman"/>
                <w:snapToGrid w:val="0"/>
                <w:color w:val="000000"/>
                <w:sz w:val="21"/>
                <w:szCs w:val="21"/>
                <w:lang w:val="en-US" w:eastAsia="zh-CN"/>
              </w:rPr>
              <w:t>5</w:t>
            </w:r>
            <w:r>
              <w:rPr>
                <w:rFonts w:ascii="Times New Roman"/>
                <w:snapToGrid w:val="0"/>
                <w:color w:val="000000"/>
                <w:sz w:val="21"/>
                <w:szCs w:val="21"/>
              </w:rPr>
              <w:t>月</w:t>
            </w:r>
            <w:r>
              <w:rPr>
                <w:rFonts w:hint="eastAsia" w:ascii="Times New Roman"/>
                <w:snapToGrid w:val="0"/>
                <w:color w:val="000000"/>
                <w:sz w:val="21"/>
                <w:szCs w:val="21"/>
                <w:lang w:val="en-US" w:eastAsia="zh-CN"/>
              </w:rPr>
              <w:t>31</w:t>
            </w:r>
            <w:r>
              <w:rPr>
                <w:rFonts w:ascii="Times New Roman"/>
                <w:snapToGrid w:val="0"/>
                <w:color w:val="000000"/>
                <w:sz w:val="21"/>
                <w:szCs w:val="21"/>
              </w:rPr>
              <w:t>日</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imes New Roman" w:hAnsi="Times New Roman" w:eastAsia="宋体" w:cs="Times New Roman"/>
                <w:snapToGrid w:val="0"/>
                <w:color w:val="000000"/>
                <w:szCs w:val="21"/>
                <w:lang w:val="en-US" w:eastAsia="zh-CN"/>
              </w:rPr>
              <w:t>1、《牧草饲料加工生产线》（ZL202320169401.4）；2、《牧草粉碎烘干一体机》（ZL202121821308.4）；3、《牧草二级连续粉碎机》（ZL202121819425.7）；4、《混合发酵型桑枝叶微贮饲料及其制备方法》（ZL201810974536.1）；5、《混合发酵型桑枝叶微贮鸡饲料及鸡的饲养方法》（ZL201810975366.9）；6、《混合发酵型桑枝叶微贮鸭饲料及饲养鸭子的方法》（ZL201810975343.8）；7、《混合发酵型桑枝叶微贮鹅饲料及鹅的饲养方法》（ZL201810975304.8）；8、</w:t>
            </w:r>
            <w:r>
              <w:rPr>
                <w:rFonts w:hint="eastAsia"/>
                <w:snapToGrid w:val="0"/>
                <w:color w:val="000000"/>
                <w:szCs w:val="21"/>
                <w:lang w:val="en-US" w:eastAsia="zh-CN"/>
              </w:rPr>
              <w:t>《饲料桑与牧草间种的栽培方法》（ZL202110275117.0）</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CN"/>
              </w:rPr>
              <w:t>附件</w:t>
            </w:r>
            <w:r>
              <w:rPr>
                <w:rFonts w:hint="eastAsia"/>
                <w:snapToGrid w:val="0"/>
                <w:color w:val="000000"/>
                <w:szCs w:val="21"/>
                <w:lang w:val="en-US" w:eastAsia="zh-CN"/>
              </w:rPr>
              <w:t>9、10、11、1、2、3、4、5</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val="en-US" w:eastAsia="zh-CN"/>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eastAsia="zh-CN"/>
              </w:rPr>
              <w:t>联合研发</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imes New Roman" w:hAnsi="Times New Roman" w:eastAsia="宋体" w:cs="Times New Roman"/>
                <w:sz w:val="21"/>
                <w:lang w:val="en-US" w:eastAsia="zh-CN"/>
              </w:rPr>
              <w:t>王志坚</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imes New Roman"/>
                <w:snapToGrid w:val="0"/>
                <w:color w:val="000000"/>
                <w:sz w:val="21"/>
                <w:szCs w:val="21"/>
                <w:lang w:val="en-US" w:eastAsia="zh-CN"/>
              </w:rPr>
              <w:t>2015</w:t>
            </w:r>
            <w:r>
              <w:rPr>
                <w:rFonts w:ascii="Times New Roman"/>
                <w:snapToGrid w:val="0"/>
                <w:color w:val="000000"/>
                <w:sz w:val="21"/>
                <w:szCs w:val="21"/>
              </w:rPr>
              <w:t>年</w:t>
            </w:r>
            <w:r>
              <w:rPr>
                <w:rFonts w:hint="eastAsia" w:ascii="Times New Roman"/>
                <w:snapToGrid w:val="0"/>
                <w:color w:val="000000"/>
                <w:sz w:val="21"/>
                <w:szCs w:val="21"/>
                <w:lang w:val="en-US" w:eastAsia="zh-CN"/>
              </w:rPr>
              <w:t>12</w:t>
            </w:r>
            <w:r>
              <w:rPr>
                <w:rFonts w:ascii="Times New Roman"/>
                <w:snapToGrid w:val="0"/>
                <w:color w:val="000000"/>
                <w:sz w:val="21"/>
                <w:szCs w:val="21"/>
              </w:rPr>
              <w:t>月</w:t>
            </w:r>
            <w:r>
              <w:rPr>
                <w:rFonts w:hint="eastAsia" w:ascii="Times New Roman"/>
                <w:snapToGrid w:val="0"/>
                <w:color w:val="000000"/>
                <w:sz w:val="21"/>
                <w:szCs w:val="21"/>
                <w:lang w:val="en-US" w:eastAsia="zh-CN"/>
              </w:rPr>
              <w:t>1</w:t>
            </w:r>
            <w:r>
              <w:rPr>
                <w:rFonts w:ascii="Times New Roman"/>
                <w:snapToGrid w:val="0"/>
                <w:color w:val="000000"/>
                <w:sz w:val="21"/>
                <w:szCs w:val="21"/>
              </w:rPr>
              <w:t xml:space="preserve"> 日</w:t>
            </w:r>
            <w:r>
              <w:rPr>
                <w:rFonts w:hint="eastAsia" w:ascii="Times New Roman"/>
                <w:snapToGrid w:val="0"/>
                <w:color w:val="000000"/>
                <w:sz w:val="21"/>
                <w:szCs w:val="21"/>
                <w:lang w:eastAsia="zh-CN"/>
              </w:rPr>
              <w:t>至</w:t>
            </w:r>
            <w:r>
              <w:rPr>
                <w:rFonts w:hint="eastAsia" w:ascii="Times New Roman"/>
                <w:snapToGrid w:val="0"/>
                <w:color w:val="000000"/>
                <w:sz w:val="21"/>
                <w:szCs w:val="21"/>
                <w:lang w:val="en-US" w:eastAsia="zh-CN"/>
              </w:rPr>
              <w:t>2024</w:t>
            </w:r>
            <w:r>
              <w:rPr>
                <w:rFonts w:ascii="Times New Roman"/>
                <w:snapToGrid w:val="0"/>
                <w:color w:val="000000"/>
                <w:sz w:val="21"/>
                <w:szCs w:val="21"/>
              </w:rPr>
              <w:t xml:space="preserve">年 </w:t>
            </w:r>
            <w:r>
              <w:rPr>
                <w:rFonts w:hint="eastAsia" w:ascii="Times New Roman"/>
                <w:snapToGrid w:val="0"/>
                <w:color w:val="000000"/>
                <w:sz w:val="21"/>
                <w:szCs w:val="21"/>
                <w:lang w:val="en-US" w:eastAsia="zh-CN"/>
              </w:rPr>
              <w:t>5</w:t>
            </w:r>
            <w:r>
              <w:rPr>
                <w:rFonts w:ascii="Times New Roman"/>
                <w:snapToGrid w:val="0"/>
                <w:color w:val="000000"/>
                <w:sz w:val="21"/>
                <w:szCs w:val="21"/>
              </w:rPr>
              <w:t>月</w:t>
            </w:r>
            <w:r>
              <w:rPr>
                <w:rFonts w:hint="eastAsia" w:ascii="Times New Roman"/>
                <w:snapToGrid w:val="0"/>
                <w:color w:val="000000"/>
                <w:sz w:val="21"/>
                <w:szCs w:val="21"/>
                <w:lang w:val="en-US" w:eastAsia="zh-CN"/>
              </w:rPr>
              <w:t>31</w:t>
            </w:r>
            <w:r>
              <w:rPr>
                <w:rFonts w:ascii="Times New Roman"/>
                <w:snapToGrid w:val="0"/>
                <w:color w:val="000000"/>
                <w:sz w:val="21"/>
                <w:szCs w:val="21"/>
              </w:rPr>
              <w:t>日</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snapToGrid w:val="0"/>
                <w:color w:val="000000"/>
                <w:szCs w:val="21"/>
                <w:lang w:val="en-US" w:eastAsia="zh-CN"/>
              </w:rPr>
              <w:t>1、《用于木本饲料收割的无扶收割装置》（ZL201721283689.9）；2、《用于木本饲料收割的输送辊结构》（ZL201820706271.2）；3、《饲料作物收割及多级切碎细碎揉搓装置》（ZL201821246856.7）</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snapToGrid w:val="0"/>
                <w:color w:val="000000"/>
                <w:szCs w:val="21"/>
              </w:rPr>
            </w:pPr>
            <w:r>
              <w:rPr>
                <w:rFonts w:hint="eastAsia" w:ascii="Times New Roman" w:hAnsi="Times New Roman" w:eastAsia="宋体" w:cs="Times New Roman"/>
                <w:snapToGrid w:val="0"/>
                <w:color w:val="000000"/>
                <w:szCs w:val="21"/>
                <w:lang w:val="en-US" w:eastAsia="zh-CN"/>
              </w:rPr>
              <w:t>附件6、7、8</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bl>
    <w:p>
      <w:pPr>
        <w:pStyle w:val="11"/>
      </w:pPr>
    </w:p>
    <w:p>
      <w:pPr>
        <w:pStyle w:val="11"/>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xMzdkZmM2MWExOWNlYWU4OTBjZDg5MzZiMzI3MmIifQ=="/>
  </w:docVars>
  <w:rsids>
    <w:rsidRoot w:val="0CC8630E"/>
    <w:rsid w:val="0048501C"/>
    <w:rsid w:val="00FB0B1F"/>
    <w:rsid w:val="00FD0F8B"/>
    <w:rsid w:val="093D6009"/>
    <w:rsid w:val="0CC8630E"/>
    <w:rsid w:val="241F02D3"/>
    <w:rsid w:val="2A862D93"/>
    <w:rsid w:val="425C1E5F"/>
    <w:rsid w:val="43DA1533"/>
    <w:rsid w:val="48845C8A"/>
    <w:rsid w:val="52B4080C"/>
    <w:rsid w:val="58680A07"/>
    <w:rsid w:val="5A02402A"/>
    <w:rsid w:val="5BE93EEE"/>
    <w:rsid w:val="6833139A"/>
    <w:rsid w:val="68AF4473"/>
    <w:rsid w:val="6CB365E3"/>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4"/>
    <w:next w:val="4"/>
    <w:qFormat/>
    <w:uiPriority w:val="0"/>
    <w:pPr>
      <w:keepNext/>
      <w:keepLines/>
      <w:spacing w:line="560" w:lineRule="exact"/>
    </w:pPr>
    <w:rPr>
      <w:rFonts w:eastAsia="方正小标宋简体"/>
      <w:b w:val="0"/>
      <w:kern w:val="44"/>
      <w:sz w:val="44"/>
    </w:rPr>
  </w:style>
  <w:style w:type="paragraph" w:styleId="2">
    <w:name w:val="heading 4"/>
    <w:basedOn w:val="1"/>
    <w:next w:val="1"/>
    <w:qFormat/>
    <w:uiPriority w:val="0"/>
    <w:pPr>
      <w:keepNext/>
      <w:keepLines/>
      <w:spacing w:before="50" w:beforeLines="50" w:after="50" w:afterLines="50"/>
      <w:outlineLvl w:val="3"/>
    </w:pPr>
    <w:rPr>
      <w:rFonts w:ascii="Cambria" w:hAnsi="Cambria" w:eastAsia="仿宋"/>
      <w:b/>
      <w:bCs/>
      <w:sz w:val="28"/>
      <w:szCs w:val="28"/>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sz w:val="32"/>
    </w:rPr>
  </w:style>
  <w:style w:type="paragraph" w:styleId="5">
    <w:name w:val="Body Text"/>
    <w:basedOn w:val="1"/>
    <w:unhideWhenUsed/>
    <w:qFormat/>
    <w:uiPriority w:val="99"/>
    <w:pPr>
      <w:jc w:val="center"/>
    </w:pPr>
    <w:rPr>
      <w:sz w:val="4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4"/>
    <w:next w:val="4"/>
    <w:qFormat/>
    <w:uiPriority w:val="0"/>
    <w:rPr>
      <w:rFonts w:eastAsia="方正小标宋简体" w:asciiTheme="minorHAnsi" w:hAnsiTheme="minorHAnsi"/>
      <w:b w:val="0"/>
    </w:rPr>
  </w:style>
  <w:style w:type="character" w:customStyle="1" w:styleId="13">
    <w:name w:val="17"/>
    <w:basedOn w:val="10"/>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1818</Words>
  <Characters>2173</Characters>
  <Lines>5</Lines>
  <Paragraphs>1</Paragraphs>
  <TotalTime>0</TotalTime>
  <ScaleCrop>false</ScaleCrop>
  <LinksUpToDate>false</LinksUpToDate>
  <CharactersWithSpaces>2187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天高任飞</cp:lastModifiedBy>
  <dcterms:modified xsi:type="dcterms:W3CDTF">2024-06-11T01:59:33Z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B7527B2BA94C458180351A4D037FB5F1_12</vt:lpwstr>
  </property>
</Properties>
</file>