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CB81C">
      <w:pPr>
        <w:spacing w:line="500" w:lineRule="exact"/>
        <w:rPr>
          <w:rFonts w:ascii="黑体" w:hAnsi="Times New Roman" w:eastAsia="黑体" w:cs="Times New Roman"/>
          <w:sz w:val="32"/>
          <w:szCs w:val="32"/>
        </w:rPr>
      </w:pPr>
      <w:bookmarkStart w:id="0" w:name="_GoBack"/>
      <w:bookmarkEnd w:id="0"/>
      <w:r>
        <w:rPr>
          <w:rFonts w:hint="eastAsia" w:ascii="黑体" w:hAnsi="Times New Roman" w:eastAsia="黑体" w:cs="Times New Roman"/>
          <w:sz w:val="32"/>
          <w:szCs w:val="32"/>
        </w:rPr>
        <w:t>附件1</w:t>
      </w:r>
    </w:p>
    <w:p w14:paraId="0539D517">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4"/>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733"/>
        <w:gridCol w:w="588"/>
        <w:gridCol w:w="1011"/>
        <w:gridCol w:w="999"/>
        <w:gridCol w:w="855"/>
        <w:gridCol w:w="1036"/>
        <w:gridCol w:w="881"/>
        <w:gridCol w:w="849"/>
        <w:gridCol w:w="800"/>
        <w:gridCol w:w="1174"/>
      </w:tblGrid>
      <w:tr w14:paraId="29A7D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14:paraId="52ED3F11">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14:paraId="45325F6D">
            <w:pPr>
              <w:spacing w:line="360" w:lineRule="exact"/>
              <w:ind w:firstLine="280" w:firstLineChars="100"/>
              <w:jc w:val="both"/>
              <w:rPr>
                <w:rFonts w:ascii="仿宋_GB2312" w:hAnsi="仿宋_GB2312" w:eastAsia="仿宋_GB2312" w:cs="仿宋_GB2312"/>
                <w:szCs w:val="21"/>
              </w:rPr>
            </w:pPr>
            <w:r>
              <w:rPr>
                <w:rFonts w:hint="eastAsia" w:ascii="仿宋_GB2312" w:hAnsi="仿宋_GB2312" w:eastAsia="仿宋_GB2312" w:cs="仿宋_GB2312"/>
                <w:sz w:val="28"/>
                <w:szCs w:val="28"/>
              </w:rPr>
              <w:t>奶水牛良种高效繁育和健康生态养殖技术创新及产业化应用</w:t>
            </w:r>
          </w:p>
        </w:tc>
      </w:tr>
      <w:tr w14:paraId="43D36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14:paraId="0B099DF4">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14:paraId="3231DB32">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14:paraId="2D939B91">
            <w:pPr>
              <w:spacing w:line="360" w:lineRule="exact"/>
              <w:jc w:val="left"/>
              <w:rPr>
                <w:rFonts w:ascii="仿宋_GB2312" w:hAnsi="仿宋_GB2312" w:eastAsia="仿宋_GB2312" w:cs="仿宋_GB2312"/>
                <w:szCs w:val="21"/>
              </w:rPr>
            </w:pPr>
            <w:r>
              <w:rPr>
                <w:rFonts w:hint="default" w:ascii="Times New Roman" w:hAnsi="Times New Roman" w:eastAsia="仿宋_GB2312" w:cs="Times New Roman"/>
                <w:sz w:val="28"/>
                <w:szCs w:val="28"/>
              </w:rPr>
              <w:t>覃广胜、黄锋、付强、李治培</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黄荣春</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鄢胜飞、</w:t>
            </w:r>
            <w:r>
              <w:rPr>
                <w:rFonts w:hint="default" w:ascii="Times New Roman" w:hAnsi="Times New Roman" w:eastAsia="仿宋_GB2312" w:cs="Times New Roman"/>
                <w:sz w:val="28"/>
                <w:szCs w:val="28"/>
              </w:rPr>
              <w:t>罗华</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罗弘萍</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林智</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苏春伟</w:t>
            </w:r>
          </w:p>
        </w:tc>
      </w:tr>
      <w:tr w14:paraId="4C02E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14:paraId="7B43C27E">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14:paraId="4E600CEF">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14:paraId="4DC2DC48">
            <w:pPr>
              <w:spacing w:line="360" w:lineRule="exact"/>
              <w:jc w:val="left"/>
              <w:rPr>
                <w:rFonts w:hint="eastAsia" w:ascii="仿宋_GB2312" w:hAnsi="仿宋_GB2312" w:eastAsia="仿宋_GB2312" w:cs="仿宋_GB2312"/>
                <w:szCs w:val="21"/>
                <w:lang w:val="en-US" w:eastAsia="zh-CN"/>
              </w:rPr>
            </w:pPr>
            <w:r>
              <w:rPr>
                <w:rFonts w:hint="default" w:ascii="Times New Roman" w:hAnsi="Times New Roman" w:eastAsia="仿宋_GB2312" w:cs="Times New Roman"/>
                <w:sz w:val="28"/>
                <w:szCs w:val="28"/>
              </w:rPr>
              <w:t>广西壮族自治区水牛研究所</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广西大学</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灵山县畜牧技术服务站</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广西百菲乳业股份有限公司</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皇氏集团股份有限公司</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北流市畜牧站</w:t>
            </w:r>
          </w:p>
        </w:tc>
      </w:tr>
      <w:tr w14:paraId="40D79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14:paraId="0B6C1C2D">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14:paraId="41053C1F">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自治区农业农村厅</w:t>
            </w:r>
          </w:p>
        </w:tc>
      </w:tr>
      <w:tr w14:paraId="3B4EF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54" w:type="dxa"/>
            <w:tcMar>
              <w:left w:w="57" w:type="dxa"/>
              <w:right w:w="57" w:type="dxa"/>
            </w:tcMar>
            <w:vAlign w:val="center"/>
          </w:tcPr>
          <w:p w14:paraId="7F5313B3">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321" w:type="dxa"/>
            <w:gridSpan w:val="2"/>
            <w:tcMar>
              <w:left w:w="57" w:type="dxa"/>
              <w:right w:w="57" w:type="dxa"/>
            </w:tcMar>
            <w:vAlign w:val="center"/>
          </w:tcPr>
          <w:p w14:paraId="3E61B9EA">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11" w:type="dxa"/>
            <w:tcMar>
              <w:left w:w="57" w:type="dxa"/>
              <w:right w:w="57" w:type="dxa"/>
            </w:tcMar>
            <w:vAlign w:val="center"/>
          </w:tcPr>
          <w:p w14:paraId="5849497E">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14:paraId="510242E2">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99" w:type="dxa"/>
            <w:tcMar>
              <w:left w:w="57" w:type="dxa"/>
              <w:right w:w="57" w:type="dxa"/>
            </w:tcMar>
            <w:vAlign w:val="center"/>
          </w:tcPr>
          <w:p w14:paraId="72A6A935">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14:paraId="53A05A6D">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6" w:type="dxa"/>
            <w:tcMar>
              <w:left w:w="57" w:type="dxa"/>
              <w:right w:w="57" w:type="dxa"/>
            </w:tcMar>
            <w:vAlign w:val="center"/>
          </w:tcPr>
          <w:p w14:paraId="43ABAAFC">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14:paraId="196FC094">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1" w:type="dxa"/>
            <w:tcMar>
              <w:left w:w="57" w:type="dxa"/>
              <w:right w:w="57" w:type="dxa"/>
            </w:tcMar>
            <w:vAlign w:val="center"/>
          </w:tcPr>
          <w:p w14:paraId="614DCB91">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849" w:type="dxa"/>
            <w:tcMar>
              <w:left w:w="57" w:type="dxa"/>
              <w:right w:w="57" w:type="dxa"/>
            </w:tcMar>
            <w:vAlign w:val="center"/>
          </w:tcPr>
          <w:p w14:paraId="0236F8C1">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00" w:type="dxa"/>
            <w:tcMar>
              <w:left w:w="57" w:type="dxa"/>
              <w:right w:w="57" w:type="dxa"/>
            </w:tcMar>
            <w:vAlign w:val="center"/>
          </w:tcPr>
          <w:p w14:paraId="5884F363">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174" w:type="dxa"/>
            <w:tcMar>
              <w:left w:w="57" w:type="dxa"/>
              <w:right w:w="57" w:type="dxa"/>
            </w:tcMar>
            <w:vAlign w:val="center"/>
          </w:tcPr>
          <w:p w14:paraId="63D47367">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14:paraId="31838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6E0481B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地方标准</w:t>
            </w:r>
          </w:p>
        </w:tc>
        <w:tc>
          <w:tcPr>
            <w:tcW w:w="1321" w:type="dxa"/>
            <w:gridSpan w:val="2"/>
            <w:tcMar>
              <w:left w:w="57" w:type="dxa"/>
              <w:right w:w="57" w:type="dxa"/>
            </w:tcMar>
            <w:vAlign w:val="center"/>
          </w:tcPr>
          <w:p w14:paraId="7C035BD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奶水牛同期发情－人工授精操作技术规程</w:t>
            </w:r>
          </w:p>
        </w:tc>
        <w:tc>
          <w:tcPr>
            <w:tcW w:w="1011" w:type="dxa"/>
            <w:tcMar>
              <w:left w:w="57" w:type="dxa"/>
              <w:right w:w="57" w:type="dxa"/>
            </w:tcMar>
            <w:vAlign w:val="center"/>
          </w:tcPr>
          <w:p w14:paraId="0F5F48E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2098D716">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DB45</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rPr>
              <w:t>T 2313-2021</w:t>
            </w:r>
          </w:p>
        </w:tc>
        <w:tc>
          <w:tcPr>
            <w:tcW w:w="855" w:type="dxa"/>
            <w:tcMar>
              <w:left w:w="57" w:type="dxa"/>
              <w:right w:w="57" w:type="dxa"/>
            </w:tcMar>
            <w:vAlign w:val="center"/>
          </w:tcPr>
          <w:p w14:paraId="2E2DAEB4">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2021-04-25</w:t>
            </w:r>
          </w:p>
        </w:tc>
        <w:tc>
          <w:tcPr>
            <w:tcW w:w="1036" w:type="dxa"/>
            <w:tcMar>
              <w:left w:w="57" w:type="dxa"/>
              <w:right w:w="57" w:type="dxa"/>
            </w:tcMar>
            <w:vAlign w:val="center"/>
          </w:tcPr>
          <w:p w14:paraId="055B493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广西壮族自治区市场监督管理局</w:t>
            </w:r>
          </w:p>
        </w:tc>
        <w:tc>
          <w:tcPr>
            <w:tcW w:w="881" w:type="dxa"/>
            <w:tcMar>
              <w:left w:w="57" w:type="dxa"/>
              <w:right w:w="57" w:type="dxa"/>
            </w:tcMar>
            <w:vAlign w:val="center"/>
          </w:tcPr>
          <w:p w14:paraId="672DFDBD">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广西壮族自治区水牛研究所</w:t>
            </w:r>
          </w:p>
        </w:tc>
        <w:tc>
          <w:tcPr>
            <w:tcW w:w="849" w:type="dxa"/>
            <w:tcMar>
              <w:left w:w="57" w:type="dxa"/>
              <w:right w:w="57" w:type="dxa"/>
            </w:tcMar>
            <w:vAlign w:val="center"/>
          </w:tcPr>
          <w:p w14:paraId="666EC40B">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陈明棠、梁贤威、覃广胜、黄</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锋、</w:t>
            </w:r>
          </w:p>
          <w:p w14:paraId="7C45F876">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谭正准、黄</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健、</w:t>
            </w:r>
          </w:p>
          <w:p w14:paraId="730E1419">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李</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辉、</w:t>
            </w:r>
          </w:p>
          <w:p w14:paraId="74334C2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赵朝步、李治培、</w:t>
            </w:r>
          </w:p>
          <w:p w14:paraId="0A055E8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钟华配罗</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华</w:t>
            </w:r>
          </w:p>
        </w:tc>
        <w:tc>
          <w:tcPr>
            <w:tcW w:w="800" w:type="dxa"/>
            <w:tcMar>
              <w:left w:w="57" w:type="dxa"/>
              <w:right w:w="57" w:type="dxa"/>
            </w:tcMar>
            <w:vAlign w:val="center"/>
          </w:tcPr>
          <w:p w14:paraId="34EDCC6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有效</w:t>
            </w:r>
          </w:p>
        </w:tc>
        <w:tc>
          <w:tcPr>
            <w:tcW w:w="1174" w:type="dxa"/>
            <w:tcMar>
              <w:left w:w="57" w:type="dxa"/>
              <w:right w:w="57" w:type="dxa"/>
            </w:tcMar>
            <w:vAlign w:val="center"/>
          </w:tcPr>
          <w:p w14:paraId="567D6AE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是</w:t>
            </w:r>
          </w:p>
        </w:tc>
      </w:tr>
      <w:tr w14:paraId="2F98A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66A98CBB">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地方标准</w:t>
            </w:r>
          </w:p>
        </w:tc>
        <w:tc>
          <w:tcPr>
            <w:tcW w:w="1321" w:type="dxa"/>
            <w:gridSpan w:val="2"/>
            <w:tcMar>
              <w:left w:w="57" w:type="dxa"/>
              <w:right w:w="57" w:type="dxa"/>
            </w:tcMar>
            <w:vAlign w:val="center"/>
          </w:tcPr>
          <w:p w14:paraId="47A607CE">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摩拉水牛体型线性评定</w:t>
            </w:r>
          </w:p>
        </w:tc>
        <w:tc>
          <w:tcPr>
            <w:tcW w:w="1011" w:type="dxa"/>
            <w:tcMar>
              <w:left w:w="57" w:type="dxa"/>
              <w:right w:w="57" w:type="dxa"/>
            </w:tcMar>
            <w:vAlign w:val="center"/>
          </w:tcPr>
          <w:p w14:paraId="478A325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58CA89B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DB45</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rPr>
              <w:t>T</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1952-2019</w:t>
            </w:r>
          </w:p>
        </w:tc>
        <w:tc>
          <w:tcPr>
            <w:tcW w:w="855" w:type="dxa"/>
            <w:tcMar>
              <w:left w:w="57" w:type="dxa"/>
              <w:right w:w="57" w:type="dxa"/>
            </w:tcMar>
            <w:vAlign w:val="center"/>
          </w:tcPr>
          <w:p w14:paraId="27199382">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2019-05-31</w:t>
            </w:r>
          </w:p>
        </w:tc>
        <w:tc>
          <w:tcPr>
            <w:tcW w:w="1036" w:type="dxa"/>
            <w:tcMar>
              <w:left w:w="57" w:type="dxa"/>
              <w:right w:w="57" w:type="dxa"/>
            </w:tcMar>
            <w:vAlign w:val="center"/>
          </w:tcPr>
          <w:p w14:paraId="2936A7F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广西壮族自治区市场监督管理局</w:t>
            </w:r>
          </w:p>
        </w:tc>
        <w:tc>
          <w:tcPr>
            <w:tcW w:w="881" w:type="dxa"/>
            <w:tcMar>
              <w:left w:w="57" w:type="dxa"/>
              <w:right w:w="57" w:type="dxa"/>
            </w:tcMar>
            <w:vAlign w:val="center"/>
          </w:tcPr>
          <w:p w14:paraId="7F80D59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广西壮族自治区水牛研究所</w:t>
            </w:r>
          </w:p>
        </w:tc>
        <w:tc>
          <w:tcPr>
            <w:tcW w:w="849" w:type="dxa"/>
            <w:tcMar>
              <w:left w:w="57" w:type="dxa"/>
              <w:right w:w="57" w:type="dxa"/>
            </w:tcMar>
            <w:vAlign w:val="center"/>
          </w:tcPr>
          <w:p w14:paraId="3B9BCF77">
            <w:pPr>
              <w:keepNext w:val="0"/>
              <w:keepLines w:val="0"/>
              <w:pageBreakBefore w:val="0"/>
              <w:widowControl w:val="0"/>
              <w:kinsoku/>
              <w:overflowPunct/>
              <w:topLinePunct w:val="0"/>
              <w:bidi w:val="0"/>
              <w:adjustRightInd w:val="0"/>
              <w:snapToGrid w:val="0"/>
              <w:spacing w:beforeAutospacing="0" w:afterAutospacing="0" w:line="260" w:lineRule="exact"/>
              <w:jc w:val="both"/>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张秀芳、鄢胜飞、覃广胜、陈明棠、郑</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威、</w:t>
            </w:r>
          </w:p>
          <w:p w14:paraId="4EE97021">
            <w:pPr>
              <w:keepNext w:val="0"/>
              <w:keepLines w:val="0"/>
              <w:pageBreakBefore w:val="0"/>
              <w:widowControl w:val="0"/>
              <w:kinsoku/>
              <w:overflowPunct/>
              <w:topLinePunct w:val="0"/>
              <w:bidi w:val="0"/>
              <w:adjustRightInd w:val="0"/>
              <w:snapToGrid w:val="0"/>
              <w:spacing w:beforeAutospacing="0" w:afterAutospacing="0" w:line="260" w:lineRule="exact"/>
              <w:jc w:val="both"/>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诸葛莹、尚江华、黄</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健、</w:t>
            </w:r>
          </w:p>
          <w:p w14:paraId="0F474ACC">
            <w:pPr>
              <w:keepNext w:val="0"/>
              <w:keepLines w:val="0"/>
              <w:pageBreakBefore w:val="0"/>
              <w:widowControl w:val="0"/>
              <w:kinsoku/>
              <w:overflowPunct/>
              <w:topLinePunct w:val="0"/>
              <w:bidi w:val="0"/>
              <w:adjustRightInd w:val="0"/>
              <w:snapToGrid w:val="0"/>
              <w:spacing w:beforeAutospacing="0" w:afterAutospacing="0" w:line="260" w:lineRule="exact"/>
              <w:jc w:val="both"/>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黄芬香</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郑海英、杨春艳</w:t>
            </w:r>
          </w:p>
        </w:tc>
        <w:tc>
          <w:tcPr>
            <w:tcW w:w="800" w:type="dxa"/>
            <w:tcMar>
              <w:left w:w="57" w:type="dxa"/>
              <w:right w:w="57" w:type="dxa"/>
            </w:tcMar>
            <w:vAlign w:val="center"/>
          </w:tcPr>
          <w:p w14:paraId="7B170AB6">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有效</w:t>
            </w:r>
          </w:p>
        </w:tc>
        <w:tc>
          <w:tcPr>
            <w:tcW w:w="1174" w:type="dxa"/>
            <w:tcMar>
              <w:left w:w="57" w:type="dxa"/>
              <w:right w:w="57" w:type="dxa"/>
            </w:tcMar>
            <w:vAlign w:val="center"/>
          </w:tcPr>
          <w:p w14:paraId="6AF6197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是</w:t>
            </w:r>
          </w:p>
        </w:tc>
      </w:tr>
      <w:tr w14:paraId="7992F4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46F88B16">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发明</w:t>
            </w:r>
            <w:r>
              <w:rPr>
                <w:rFonts w:hint="default" w:ascii="Times New Roman" w:hAnsi="Times New Roman" w:eastAsia="仿宋_GB2312" w:cs="Times New Roman"/>
                <w:szCs w:val="21"/>
              </w:rPr>
              <w:t>专利</w:t>
            </w:r>
          </w:p>
        </w:tc>
        <w:tc>
          <w:tcPr>
            <w:tcW w:w="1321" w:type="dxa"/>
            <w:gridSpan w:val="2"/>
            <w:tcMar>
              <w:left w:w="57" w:type="dxa"/>
              <w:right w:w="57" w:type="dxa"/>
            </w:tcMar>
            <w:vAlign w:val="center"/>
          </w:tcPr>
          <w:p w14:paraId="1B22EB4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一种用于奶水牛的饲料及饲养方法</w:t>
            </w:r>
          </w:p>
        </w:tc>
        <w:tc>
          <w:tcPr>
            <w:tcW w:w="1011" w:type="dxa"/>
            <w:tcMar>
              <w:left w:w="57" w:type="dxa"/>
              <w:right w:w="57" w:type="dxa"/>
            </w:tcMar>
            <w:vAlign w:val="center"/>
          </w:tcPr>
          <w:p w14:paraId="20F3BC19">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1A5FA322">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ZL201510371610.7</w:t>
            </w:r>
          </w:p>
        </w:tc>
        <w:tc>
          <w:tcPr>
            <w:tcW w:w="855" w:type="dxa"/>
            <w:tcMar>
              <w:left w:w="57" w:type="dxa"/>
              <w:right w:w="57" w:type="dxa"/>
            </w:tcMar>
            <w:vAlign w:val="center"/>
          </w:tcPr>
          <w:p w14:paraId="61723FD4">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2017-11-02</w:t>
            </w:r>
          </w:p>
        </w:tc>
        <w:tc>
          <w:tcPr>
            <w:tcW w:w="1036" w:type="dxa"/>
            <w:tcMar>
              <w:left w:w="57" w:type="dxa"/>
              <w:right w:w="57" w:type="dxa"/>
            </w:tcMar>
            <w:vAlign w:val="center"/>
          </w:tcPr>
          <w:p w14:paraId="129CD9B9">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第2680213号</w:t>
            </w:r>
          </w:p>
          <w:p w14:paraId="342F603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国家知识产权局</w:t>
            </w:r>
          </w:p>
        </w:tc>
        <w:tc>
          <w:tcPr>
            <w:tcW w:w="881" w:type="dxa"/>
            <w:tcMar>
              <w:left w:w="57" w:type="dxa"/>
              <w:right w:w="57" w:type="dxa"/>
            </w:tcMar>
            <w:vAlign w:val="center"/>
          </w:tcPr>
          <w:p w14:paraId="4260FB62">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广西壮族自治区水牛研究所</w:t>
            </w:r>
          </w:p>
        </w:tc>
        <w:tc>
          <w:tcPr>
            <w:tcW w:w="849" w:type="dxa"/>
            <w:tcMar>
              <w:left w:w="57" w:type="dxa"/>
              <w:right w:w="57" w:type="dxa"/>
            </w:tcMar>
            <w:vAlign w:val="center"/>
          </w:tcPr>
          <w:p w14:paraId="6037A01A">
            <w:pPr>
              <w:keepNext w:val="0"/>
              <w:keepLines w:val="0"/>
              <w:pageBreakBefore w:val="0"/>
              <w:widowControl w:val="0"/>
              <w:kinsoku/>
              <w:overflowPunct/>
              <w:topLinePunct w:val="0"/>
              <w:bidi w:val="0"/>
              <w:adjustRightInd w:val="0"/>
              <w:snapToGrid w:val="0"/>
              <w:spacing w:beforeAutospacing="0" w:afterAutospacing="0" w:line="260" w:lineRule="exact"/>
              <w:jc w:val="both"/>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邹彩霞</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韦升菊</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万</w:t>
            </w: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丹</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梁</w:t>
            </w: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辛</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杨炳壮</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梁贤威</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李丽莉</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林</w:t>
            </w: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波</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杨承剑</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黄</w:t>
            </w: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锋</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黄加祥</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唐庆凤</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彭开屏</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潘玉红</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谭正准</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黄</w:t>
            </w: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健</w:t>
            </w:r>
          </w:p>
        </w:tc>
        <w:tc>
          <w:tcPr>
            <w:tcW w:w="800" w:type="dxa"/>
            <w:tcMar>
              <w:left w:w="57" w:type="dxa"/>
              <w:right w:w="57" w:type="dxa"/>
            </w:tcMar>
            <w:vAlign w:val="center"/>
          </w:tcPr>
          <w:p w14:paraId="4BE83E8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有效</w:t>
            </w:r>
          </w:p>
        </w:tc>
        <w:tc>
          <w:tcPr>
            <w:tcW w:w="1174" w:type="dxa"/>
            <w:tcMar>
              <w:left w:w="57" w:type="dxa"/>
              <w:right w:w="57" w:type="dxa"/>
            </w:tcMar>
            <w:vAlign w:val="center"/>
          </w:tcPr>
          <w:p w14:paraId="66CADDCE">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是</w:t>
            </w:r>
          </w:p>
        </w:tc>
      </w:tr>
      <w:tr w14:paraId="17FDE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7D1E8EA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发明</w:t>
            </w:r>
            <w:r>
              <w:rPr>
                <w:rFonts w:hint="default" w:ascii="Times New Roman" w:hAnsi="Times New Roman" w:eastAsia="仿宋_GB2312" w:cs="Times New Roman"/>
                <w:szCs w:val="21"/>
              </w:rPr>
              <w:t>专利</w:t>
            </w:r>
          </w:p>
        </w:tc>
        <w:tc>
          <w:tcPr>
            <w:tcW w:w="1321" w:type="dxa"/>
            <w:gridSpan w:val="2"/>
            <w:tcMar>
              <w:left w:w="57" w:type="dxa"/>
              <w:right w:w="57" w:type="dxa"/>
            </w:tcMar>
            <w:vAlign w:val="center"/>
          </w:tcPr>
          <w:p w14:paraId="3FB64DF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奶牛诱食剂</w:t>
            </w:r>
          </w:p>
        </w:tc>
        <w:tc>
          <w:tcPr>
            <w:tcW w:w="1011" w:type="dxa"/>
            <w:tcMar>
              <w:left w:w="57" w:type="dxa"/>
              <w:right w:w="57" w:type="dxa"/>
            </w:tcMar>
            <w:vAlign w:val="center"/>
          </w:tcPr>
          <w:p w14:paraId="1AAFAC1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0814B6A6">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ZL201310082722.1</w:t>
            </w:r>
          </w:p>
        </w:tc>
        <w:tc>
          <w:tcPr>
            <w:tcW w:w="855" w:type="dxa"/>
            <w:tcMar>
              <w:left w:w="57" w:type="dxa"/>
              <w:right w:w="57" w:type="dxa"/>
            </w:tcMar>
            <w:vAlign w:val="center"/>
          </w:tcPr>
          <w:p w14:paraId="1BEC7D3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2014-04-01</w:t>
            </w:r>
          </w:p>
        </w:tc>
        <w:tc>
          <w:tcPr>
            <w:tcW w:w="1036" w:type="dxa"/>
            <w:tcMar>
              <w:left w:w="57" w:type="dxa"/>
              <w:right w:w="57" w:type="dxa"/>
            </w:tcMar>
            <w:vAlign w:val="center"/>
          </w:tcPr>
          <w:p w14:paraId="10B9367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第1330795号</w:t>
            </w:r>
          </w:p>
          <w:p w14:paraId="55AAB55D">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国家知识产权局</w:t>
            </w:r>
          </w:p>
        </w:tc>
        <w:tc>
          <w:tcPr>
            <w:tcW w:w="881" w:type="dxa"/>
            <w:tcMar>
              <w:left w:w="57" w:type="dxa"/>
              <w:right w:w="57" w:type="dxa"/>
            </w:tcMar>
            <w:vAlign w:val="center"/>
          </w:tcPr>
          <w:p w14:paraId="19581C9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广西百菲乳业有限公司</w:t>
            </w:r>
          </w:p>
        </w:tc>
        <w:tc>
          <w:tcPr>
            <w:tcW w:w="849" w:type="dxa"/>
            <w:tcMar>
              <w:left w:w="57" w:type="dxa"/>
              <w:right w:w="57" w:type="dxa"/>
            </w:tcMar>
            <w:vAlign w:val="center"/>
          </w:tcPr>
          <w:p w14:paraId="08AF71D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李海</w:t>
            </w:r>
          </w:p>
        </w:tc>
        <w:tc>
          <w:tcPr>
            <w:tcW w:w="800" w:type="dxa"/>
            <w:tcMar>
              <w:left w:w="57" w:type="dxa"/>
              <w:right w:w="57" w:type="dxa"/>
            </w:tcMar>
            <w:vAlign w:val="center"/>
          </w:tcPr>
          <w:p w14:paraId="1131A94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有效</w:t>
            </w:r>
          </w:p>
        </w:tc>
        <w:tc>
          <w:tcPr>
            <w:tcW w:w="1174" w:type="dxa"/>
            <w:tcMar>
              <w:left w:w="57" w:type="dxa"/>
              <w:right w:w="57" w:type="dxa"/>
            </w:tcMar>
            <w:vAlign w:val="center"/>
          </w:tcPr>
          <w:p w14:paraId="320E0E3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是</w:t>
            </w:r>
          </w:p>
        </w:tc>
      </w:tr>
      <w:tr w14:paraId="4BCA6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4ECCAAF0">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发明专利</w:t>
            </w:r>
          </w:p>
        </w:tc>
        <w:tc>
          <w:tcPr>
            <w:tcW w:w="1321" w:type="dxa"/>
            <w:gridSpan w:val="2"/>
            <w:tcMar>
              <w:left w:w="57" w:type="dxa"/>
              <w:right w:w="57" w:type="dxa"/>
            </w:tcMar>
            <w:vAlign w:val="center"/>
          </w:tcPr>
          <w:p w14:paraId="0C53C539">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水牛奶特征肽及水牛奶鉴定方法</w:t>
            </w:r>
          </w:p>
        </w:tc>
        <w:tc>
          <w:tcPr>
            <w:tcW w:w="1011" w:type="dxa"/>
            <w:tcMar>
              <w:left w:w="57" w:type="dxa"/>
              <w:right w:w="57" w:type="dxa"/>
            </w:tcMar>
            <w:vAlign w:val="center"/>
          </w:tcPr>
          <w:p w14:paraId="493FF646">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3E26B365">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ZL202110559732.4</w:t>
            </w:r>
          </w:p>
        </w:tc>
        <w:tc>
          <w:tcPr>
            <w:tcW w:w="855" w:type="dxa"/>
            <w:tcMar>
              <w:left w:w="57" w:type="dxa"/>
              <w:right w:w="57" w:type="dxa"/>
            </w:tcMar>
            <w:vAlign w:val="center"/>
          </w:tcPr>
          <w:p w14:paraId="07E9C546">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2022</w:t>
            </w:r>
            <w:r>
              <w:rPr>
                <w:rFonts w:hint="default" w:ascii="Times New Roman" w:hAnsi="Times New Roman" w:eastAsia="仿宋_GB2312" w:cs="Times New Roman"/>
                <w:szCs w:val="21"/>
                <w:lang w:val="en-US" w:eastAsia="zh-CN"/>
              </w:rPr>
              <w:t>-</w:t>
            </w:r>
            <w:r>
              <w:rPr>
                <w:rFonts w:hint="default" w:ascii="Times New Roman" w:hAnsi="Times New Roman" w:eastAsia="仿宋_GB2312" w:cs="Times New Roman"/>
                <w:szCs w:val="21"/>
              </w:rPr>
              <w:t>09</w:t>
            </w:r>
            <w:r>
              <w:rPr>
                <w:rFonts w:hint="default" w:ascii="Times New Roman" w:hAnsi="Times New Roman" w:eastAsia="仿宋_GB2312" w:cs="Times New Roman"/>
                <w:szCs w:val="21"/>
                <w:lang w:val="en-US" w:eastAsia="zh-CN"/>
              </w:rPr>
              <w:t>-</w:t>
            </w:r>
            <w:r>
              <w:rPr>
                <w:rFonts w:hint="default" w:ascii="Times New Roman" w:hAnsi="Times New Roman" w:eastAsia="仿宋_GB2312" w:cs="Times New Roman"/>
                <w:szCs w:val="21"/>
              </w:rPr>
              <w:t>27</w:t>
            </w:r>
          </w:p>
        </w:tc>
        <w:tc>
          <w:tcPr>
            <w:tcW w:w="1036" w:type="dxa"/>
            <w:tcMar>
              <w:left w:w="57" w:type="dxa"/>
              <w:right w:w="57" w:type="dxa"/>
            </w:tcMar>
            <w:vAlign w:val="center"/>
          </w:tcPr>
          <w:p w14:paraId="0B756217">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第</w:t>
            </w:r>
            <w:r>
              <w:rPr>
                <w:rFonts w:hint="default" w:ascii="Times New Roman" w:hAnsi="Times New Roman" w:eastAsia="仿宋_GB2312" w:cs="Times New Roman"/>
                <w:szCs w:val="21"/>
              </w:rPr>
              <w:t>5483376</w:t>
            </w:r>
            <w:r>
              <w:rPr>
                <w:rFonts w:hint="default" w:ascii="Times New Roman" w:hAnsi="Times New Roman" w:eastAsia="仿宋_GB2312" w:cs="Times New Roman"/>
                <w:szCs w:val="21"/>
                <w:lang w:val="en-US" w:eastAsia="zh-CN"/>
              </w:rPr>
              <w:t xml:space="preserve">号        </w:t>
            </w:r>
            <w:r>
              <w:rPr>
                <w:rFonts w:hint="default" w:ascii="Times New Roman" w:hAnsi="Times New Roman" w:eastAsia="仿宋_GB2312" w:cs="Times New Roman"/>
                <w:szCs w:val="21"/>
              </w:rPr>
              <w:t>国家知识产权局</w:t>
            </w:r>
          </w:p>
        </w:tc>
        <w:tc>
          <w:tcPr>
            <w:tcW w:w="881" w:type="dxa"/>
            <w:tcMar>
              <w:left w:w="57" w:type="dxa"/>
              <w:right w:w="57" w:type="dxa"/>
            </w:tcMar>
            <w:vAlign w:val="center"/>
          </w:tcPr>
          <w:p w14:paraId="0E94DB1D">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lang w:val="en-US" w:eastAsia="zh-CN"/>
              </w:rPr>
              <w:t>广西</w:t>
            </w:r>
          </w:p>
          <w:p w14:paraId="55461252">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大学</w:t>
            </w:r>
          </w:p>
        </w:tc>
        <w:tc>
          <w:tcPr>
            <w:tcW w:w="849" w:type="dxa"/>
            <w:tcMar>
              <w:left w:w="57" w:type="dxa"/>
              <w:right w:w="57" w:type="dxa"/>
            </w:tcMar>
            <w:vAlign w:val="center"/>
          </w:tcPr>
          <w:p w14:paraId="62F04384">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付</w:t>
            </w: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强</w:t>
            </w:r>
            <w:r>
              <w:rPr>
                <w:rFonts w:hint="eastAsia" w:eastAsia="仿宋_GB2312" w:cs="Times New Roman"/>
                <w:szCs w:val="21"/>
                <w:lang w:eastAsia="zh-CN"/>
              </w:rPr>
              <w:t>、</w:t>
            </w:r>
            <w:r>
              <w:rPr>
                <w:rFonts w:hint="default" w:ascii="Times New Roman" w:hAnsi="Times New Roman" w:eastAsia="仿宋_GB2312" w:cs="Times New Roman"/>
                <w:szCs w:val="21"/>
              </w:rPr>
              <w:t>黄星晨</w:t>
            </w:r>
            <w:r>
              <w:rPr>
                <w:rFonts w:hint="eastAsia" w:eastAsia="仿宋_GB2312" w:cs="Times New Roman"/>
                <w:szCs w:val="21"/>
                <w:lang w:eastAsia="zh-CN"/>
              </w:rPr>
              <w:t>、</w:t>
            </w:r>
            <w:r>
              <w:rPr>
                <w:rFonts w:hint="default" w:ascii="Times New Roman" w:hAnsi="Times New Roman" w:eastAsia="仿宋_GB2312" w:cs="Times New Roman"/>
                <w:szCs w:val="21"/>
              </w:rPr>
              <w:t>刘润峰</w:t>
            </w:r>
          </w:p>
        </w:tc>
        <w:tc>
          <w:tcPr>
            <w:tcW w:w="800" w:type="dxa"/>
            <w:tcMar>
              <w:left w:w="57" w:type="dxa"/>
              <w:right w:w="57" w:type="dxa"/>
            </w:tcMar>
            <w:vAlign w:val="center"/>
          </w:tcPr>
          <w:p w14:paraId="6EFA8E14">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有效</w:t>
            </w:r>
          </w:p>
        </w:tc>
        <w:tc>
          <w:tcPr>
            <w:tcW w:w="1174" w:type="dxa"/>
            <w:tcMar>
              <w:left w:w="57" w:type="dxa"/>
              <w:right w:w="57" w:type="dxa"/>
            </w:tcMar>
            <w:vAlign w:val="center"/>
          </w:tcPr>
          <w:p w14:paraId="1AEE343B">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是</w:t>
            </w:r>
          </w:p>
        </w:tc>
      </w:tr>
      <w:tr w14:paraId="4F73A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223968C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发明专利</w:t>
            </w:r>
          </w:p>
        </w:tc>
        <w:tc>
          <w:tcPr>
            <w:tcW w:w="1321" w:type="dxa"/>
            <w:gridSpan w:val="2"/>
            <w:tcMar>
              <w:left w:w="57" w:type="dxa"/>
              <w:right w:w="57" w:type="dxa"/>
            </w:tcMar>
            <w:vAlign w:val="center"/>
          </w:tcPr>
          <w:p w14:paraId="1EAD4F92">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一种与牛生长性状相关的SNP分子标记及其应用</w:t>
            </w:r>
          </w:p>
        </w:tc>
        <w:tc>
          <w:tcPr>
            <w:tcW w:w="1011" w:type="dxa"/>
            <w:tcMar>
              <w:left w:w="57" w:type="dxa"/>
              <w:right w:w="57" w:type="dxa"/>
            </w:tcMar>
            <w:vAlign w:val="center"/>
          </w:tcPr>
          <w:p w14:paraId="1D8138C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1290E9F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ZL 2021 1 0720380.6</w:t>
            </w:r>
          </w:p>
        </w:tc>
        <w:tc>
          <w:tcPr>
            <w:tcW w:w="855" w:type="dxa"/>
            <w:tcMar>
              <w:left w:w="57" w:type="dxa"/>
              <w:right w:w="57" w:type="dxa"/>
            </w:tcMar>
            <w:vAlign w:val="center"/>
          </w:tcPr>
          <w:p w14:paraId="6C1C89E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2022</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rPr>
              <w:t>02</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rPr>
              <w:t>11</w:t>
            </w:r>
          </w:p>
        </w:tc>
        <w:tc>
          <w:tcPr>
            <w:tcW w:w="1036" w:type="dxa"/>
            <w:tcMar>
              <w:left w:w="57" w:type="dxa"/>
              <w:right w:w="57" w:type="dxa"/>
            </w:tcMar>
            <w:vAlign w:val="center"/>
          </w:tcPr>
          <w:p w14:paraId="5B49248E">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lang w:val="en-US" w:eastAsia="zh-CN"/>
              </w:rPr>
              <w:t>第 4932562号</w:t>
            </w:r>
          </w:p>
          <w:p w14:paraId="5B17F811">
            <w:pPr>
              <w:widowControl w:val="0"/>
              <w:jc w:val="center"/>
              <w:rPr>
                <w:rFonts w:ascii="仿宋_GB2312" w:hAnsi="仿宋_GB2312" w:eastAsia="仿宋_GB2312" w:cs="仿宋_GB2312"/>
                <w:bCs/>
                <w:kern w:val="2"/>
                <w:sz w:val="44"/>
                <w:szCs w:val="21"/>
                <w:lang w:val="en-US" w:eastAsia="zh-CN" w:bidi="ar-SA"/>
              </w:rPr>
            </w:pPr>
            <w:r>
              <w:rPr>
                <w:rFonts w:hint="default" w:ascii="Times New Roman" w:hAnsi="Times New Roman" w:eastAsia="仿宋_GB2312" w:cs="Times New Roman"/>
                <w:kern w:val="2"/>
                <w:sz w:val="21"/>
                <w:szCs w:val="21"/>
                <w:lang w:val="en-US" w:eastAsia="zh-CN" w:bidi="ar-SA"/>
              </w:rPr>
              <w:t>国家知识产权局</w:t>
            </w:r>
          </w:p>
        </w:tc>
        <w:tc>
          <w:tcPr>
            <w:tcW w:w="881" w:type="dxa"/>
            <w:tcMar>
              <w:left w:w="57" w:type="dxa"/>
              <w:right w:w="57" w:type="dxa"/>
            </w:tcMar>
            <w:vAlign w:val="center"/>
          </w:tcPr>
          <w:p w14:paraId="57DEA8E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广西壮族自治区水牛研究所</w:t>
            </w:r>
          </w:p>
        </w:tc>
        <w:tc>
          <w:tcPr>
            <w:tcW w:w="849" w:type="dxa"/>
            <w:tcMar>
              <w:left w:w="57" w:type="dxa"/>
              <w:right w:w="57" w:type="dxa"/>
            </w:tcMar>
            <w:vAlign w:val="center"/>
          </w:tcPr>
          <w:p w14:paraId="18C1E11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eastAsia" w:ascii="Times New Roman" w:hAnsi="Times New Roman" w:eastAsia="仿宋_GB2312" w:cs="Times New Roman"/>
                <w:szCs w:val="21"/>
                <w:lang w:eastAsia="zh-CN"/>
              </w:rPr>
            </w:pPr>
            <w:r>
              <w:rPr>
                <w:rFonts w:hint="default" w:ascii="Times New Roman" w:hAnsi="Times New Roman" w:eastAsia="仿宋_GB2312" w:cs="Times New Roman"/>
                <w:szCs w:val="21"/>
              </w:rPr>
              <w:t>鄢胜飞</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覃广胜</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黄加祥</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张秀芳</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尚江华</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杨春艳</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郑海英</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于农淇</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黄</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健</w:t>
            </w:r>
            <w:r>
              <w:rPr>
                <w:rFonts w:hint="eastAsia" w:ascii="Times New Roman" w:hAnsi="Times New Roman" w:eastAsia="仿宋_GB2312" w:cs="Times New Roman"/>
                <w:szCs w:val="21"/>
                <w:lang w:eastAsia="zh-CN"/>
              </w:rPr>
              <w:t>、</w:t>
            </w:r>
          </w:p>
          <w:p w14:paraId="7878E4E4">
            <w:pPr>
              <w:keepNext w:val="0"/>
              <w:keepLines w:val="0"/>
              <w:pageBreakBefore w:val="0"/>
              <w:widowControl w:val="0"/>
              <w:kinsoku/>
              <w:overflowPunct/>
              <w:topLinePunct w:val="0"/>
              <w:bidi w:val="0"/>
              <w:adjustRightInd w:val="0"/>
              <w:snapToGrid w:val="0"/>
              <w:spacing w:beforeAutospacing="0" w:afterAutospacing="0" w:line="260" w:lineRule="exact"/>
              <w:jc w:val="left"/>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谭正准</w:t>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t>李</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辉</w:t>
            </w:r>
          </w:p>
        </w:tc>
        <w:tc>
          <w:tcPr>
            <w:tcW w:w="800" w:type="dxa"/>
            <w:tcMar>
              <w:left w:w="57" w:type="dxa"/>
              <w:right w:w="57" w:type="dxa"/>
            </w:tcMar>
            <w:vAlign w:val="center"/>
          </w:tcPr>
          <w:p w14:paraId="6C204D4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有效</w:t>
            </w:r>
          </w:p>
        </w:tc>
        <w:tc>
          <w:tcPr>
            <w:tcW w:w="1174" w:type="dxa"/>
            <w:tcMar>
              <w:left w:w="57" w:type="dxa"/>
              <w:right w:w="57" w:type="dxa"/>
            </w:tcMar>
            <w:vAlign w:val="center"/>
          </w:tcPr>
          <w:p w14:paraId="26951D6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是</w:t>
            </w:r>
          </w:p>
        </w:tc>
      </w:tr>
      <w:tr w14:paraId="05B309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094F670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软件著作</w:t>
            </w:r>
          </w:p>
        </w:tc>
        <w:tc>
          <w:tcPr>
            <w:tcW w:w="1321" w:type="dxa"/>
            <w:gridSpan w:val="2"/>
            <w:tcMar>
              <w:left w:w="57" w:type="dxa"/>
              <w:right w:w="57" w:type="dxa"/>
            </w:tcMar>
            <w:vAlign w:val="center"/>
          </w:tcPr>
          <w:p w14:paraId="7286B797">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基于质谱数据的蛋白质组学信息分析服务平台 V2.0</w:t>
            </w:r>
          </w:p>
        </w:tc>
        <w:tc>
          <w:tcPr>
            <w:tcW w:w="1011" w:type="dxa"/>
            <w:tcMar>
              <w:left w:w="57" w:type="dxa"/>
              <w:right w:w="57" w:type="dxa"/>
            </w:tcMar>
            <w:vAlign w:val="center"/>
          </w:tcPr>
          <w:p w14:paraId="4AA858DB">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0EC3CB10">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2022N011Y001228</w:t>
            </w:r>
          </w:p>
        </w:tc>
        <w:tc>
          <w:tcPr>
            <w:tcW w:w="855" w:type="dxa"/>
            <w:tcMar>
              <w:left w:w="57" w:type="dxa"/>
              <w:right w:w="57" w:type="dxa"/>
            </w:tcMar>
            <w:vAlign w:val="center"/>
          </w:tcPr>
          <w:p w14:paraId="21B7609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仿宋_GB2312" w:hAnsi="仿宋_GB2312" w:eastAsia="仿宋_GB2312" w:cs="仿宋_GB2312"/>
                <w:bCs/>
                <w:szCs w:val="21"/>
                <w:lang w:val="en-US" w:eastAsia="zh-CN"/>
              </w:rPr>
            </w:pPr>
            <w:r>
              <w:rPr>
                <w:rFonts w:hint="default" w:ascii="Times New Roman" w:hAnsi="Times New Roman" w:eastAsia="仿宋_GB2312" w:cs="Times New Roman"/>
                <w:szCs w:val="21"/>
              </w:rPr>
              <w:t>2022</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rPr>
              <w:t>0</w:t>
            </w:r>
            <w:r>
              <w:rPr>
                <w:rFonts w:hint="eastAsia" w:ascii="Times New Roman" w:hAnsi="Times New Roman" w:eastAsia="仿宋_GB2312" w:cs="Times New Roman"/>
                <w:szCs w:val="21"/>
                <w:lang w:val="en-US" w:eastAsia="zh-CN"/>
              </w:rPr>
              <w:t>4-25</w:t>
            </w:r>
          </w:p>
        </w:tc>
        <w:tc>
          <w:tcPr>
            <w:tcW w:w="1036" w:type="dxa"/>
            <w:tcMar>
              <w:left w:w="57" w:type="dxa"/>
              <w:right w:w="57" w:type="dxa"/>
            </w:tcMar>
            <w:vAlign w:val="center"/>
          </w:tcPr>
          <w:p w14:paraId="2141226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eastAsia" w:ascii="仿宋_GB2312" w:hAnsi="仿宋_GB2312" w:eastAsia="仿宋_GB2312" w:cs="仿宋_GB2312"/>
                <w:bCs/>
                <w:szCs w:val="21"/>
              </w:rPr>
            </w:pPr>
            <w:r>
              <w:rPr>
                <w:rFonts w:hint="eastAsia" w:ascii="仿宋_GB2312" w:hAnsi="仿宋_GB2312" w:eastAsia="仿宋_GB2312" w:cs="仿宋_GB2312"/>
                <w:bCs/>
                <w:szCs w:val="21"/>
              </w:rPr>
              <w:t>软著登字第6965382号</w:t>
            </w:r>
          </w:p>
          <w:p w14:paraId="688E7941">
            <w:pPr>
              <w:pStyle w:val="2"/>
            </w:pPr>
            <w:r>
              <w:rPr>
                <w:rFonts w:hint="eastAsia" w:ascii="Times New Roman" w:hAnsi="Times New Roman" w:eastAsia="仿宋_GB2312" w:cs="Times New Roman"/>
                <w:kern w:val="2"/>
                <w:sz w:val="21"/>
                <w:szCs w:val="21"/>
                <w:lang w:val="en-US" w:eastAsia="zh-CN" w:bidi="ar-SA"/>
              </w:rPr>
              <w:t>国家版权局</w:t>
            </w:r>
          </w:p>
        </w:tc>
        <w:tc>
          <w:tcPr>
            <w:tcW w:w="881" w:type="dxa"/>
            <w:tcMar>
              <w:left w:w="57" w:type="dxa"/>
              <w:right w:w="57" w:type="dxa"/>
            </w:tcMar>
            <w:vAlign w:val="center"/>
          </w:tcPr>
          <w:p w14:paraId="028F965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lang w:val="en-US" w:eastAsia="zh-CN"/>
              </w:rPr>
              <w:t>广西</w:t>
            </w:r>
          </w:p>
          <w:p w14:paraId="2122DA8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大学</w:t>
            </w:r>
          </w:p>
        </w:tc>
        <w:tc>
          <w:tcPr>
            <w:tcW w:w="849" w:type="dxa"/>
            <w:tcMar>
              <w:left w:w="57" w:type="dxa"/>
              <w:right w:w="57" w:type="dxa"/>
            </w:tcMar>
            <w:vAlign w:val="center"/>
          </w:tcPr>
          <w:p w14:paraId="301301C0">
            <w:pPr>
              <w:keepNext w:val="0"/>
              <w:keepLines w:val="0"/>
              <w:pageBreakBefore w:val="0"/>
              <w:widowControl w:val="0"/>
              <w:kinsoku/>
              <w:overflowPunct/>
              <w:topLinePunct w:val="0"/>
              <w:bidi w:val="0"/>
              <w:adjustRightInd w:val="0"/>
              <w:snapToGrid w:val="0"/>
              <w:spacing w:beforeAutospacing="0" w:afterAutospacing="0" w:line="260" w:lineRule="exact"/>
              <w:jc w:val="left"/>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付</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lang w:val="en-US" w:eastAsia="zh-CN"/>
              </w:rPr>
              <w:t>强</w:t>
            </w:r>
          </w:p>
        </w:tc>
        <w:tc>
          <w:tcPr>
            <w:tcW w:w="800" w:type="dxa"/>
            <w:tcMar>
              <w:left w:w="57" w:type="dxa"/>
              <w:right w:w="57" w:type="dxa"/>
            </w:tcMar>
            <w:vAlign w:val="center"/>
          </w:tcPr>
          <w:p w14:paraId="658D030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有效</w:t>
            </w:r>
          </w:p>
        </w:tc>
        <w:tc>
          <w:tcPr>
            <w:tcW w:w="1174" w:type="dxa"/>
            <w:tcMar>
              <w:left w:w="57" w:type="dxa"/>
              <w:right w:w="57" w:type="dxa"/>
            </w:tcMar>
            <w:vAlign w:val="center"/>
          </w:tcPr>
          <w:p w14:paraId="08ABFAE2">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eastAsia" w:ascii="Times New Roman" w:hAnsi="Times New Roman" w:eastAsia="仿宋_GB2312" w:cs="Times New Roman"/>
                <w:szCs w:val="21"/>
                <w:lang w:val="en-US" w:eastAsia="zh-CN"/>
              </w:rPr>
              <w:t>是</w:t>
            </w:r>
          </w:p>
        </w:tc>
      </w:tr>
      <w:tr w14:paraId="721E7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054" w:type="dxa"/>
            <w:tcMar>
              <w:left w:w="57" w:type="dxa"/>
              <w:right w:w="57" w:type="dxa"/>
            </w:tcMar>
            <w:vAlign w:val="center"/>
          </w:tcPr>
          <w:p w14:paraId="3975C51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实用新型</w:t>
            </w:r>
            <w:r>
              <w:rPr>
                <w:rFonts w:hint="default" w:ascii="Times New Roman" w:hAnsi="Times New Roman" w:eastAsia="仿宋_GB2312" w:cs="Times New Roman"/>
                <w:szCs w:val="21"/>
              </w:rPr>
              <w:t>专利</w:t>
            </w:r>
          </w:p>
        </w:tc>
        <w:tc>
          <w:tcPr>
            <w:tcW w:w="1321" w:type="dxa"/>
            <w:gridSpan w:val="2"/>
            <w:tcMar>
              <w:left w:w="57" w:type="dxa"/>
              <w:right w:w="57" w:type="dxa"/>
            </w:tcMar>
            <w:vAlign w:val="center"/>
          </w:tcPr>
          <w:p w14:paraId="00F7942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养殖污水处理装置</w:t>
            </w:r>
          </w:p>
        </w:tc>
        <w:tc>
          <w:tcPr>
            <w:tcW w:w="1011" w:type="dxa"/>
            <w:tcMar>
              <w:left w:w="57" w:type="dxa"/>
              <w:right w:w="57" w:type="dxa"/>
            </w:tcMar>
            <w:vAlign w:val="center"/>
          </w:tcPr>
          <w:p w14:paraId="35B49D5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中国广西</w:t>
            </w:r>
          </w:p>
        </w:tc>
        <w:tc>
          <w:tcPr>
            <w:tcW w:w="999" w:type="dxa"/>
            <w:tcMar>
              <w:left w:w="57" w:type="dxa"/>
              <w:right w:w="57" w:type="dxa"/>
            </w:tcMar>
            <w:vAlign w:val="center"/>
          </w:tcPr>
          <w:p w14:paraId="60C70AD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ZL202021256783.7</w:t>
            </w:r>
          </w:p>
        </w:tc>
        <w:tc>
          <w:tcPr>
            <w:tcW w:w="855" w:type="dxa"/>
            <w:tcMar>
              <w:left w:w="57" w:type="dxa"/>
              <w:right w:w="57" w:type="dxa"/>
            </w:tcMar>
            <w:vAlign w:val="center"/>
          </w:tcPr>
          <w:p w14:paraId="4195F24D">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2021-04-06</w:t>
            </w:r>
          </w:p>
        </w:tc>
        <w:tc>
          <w:tcPr>
            <w:tcW w:w="1036" w:type="dxa"/>
            <w:tcMar>
              <w:left w:w="57" w:type="dxa"/>
              <w:right w:w="57" w:type="dxa"/>
            </w:tcMar>
            <w:vAlign w:val="center"/>
          </w:tcPr>
          <w:p w14:paraId="568C6D6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第</w:t>
            </w:r>
            <w:r>
              <w:rPr>
                <w:rFonts w:hint="default" w:ascii="Times New Roman" w:hAnsi="Times New Roman" w:eastAsia="仿宋_GB2312" w:cs="Times New Roman"/>
                <w:szCs w:val="21"/>
                <w:lang w:val="en-US" w:eastAsia="zh-CN"/>
              </w:rPr>
              <w:t>12892240</w:t>
            </w:r>
            <w:r>
              <w:rPr>
                <w:rFonts w:hint="default" w:ascii="Times New Roman" w:hAnsi="Times New Roman" w:eastAsia="仿宋_GB2312" w:cs="Times New Roman"/>
                <w:szCs w:val="21"/>
              </w:rPr>
              <w:t>号</w:t>
            </w:r>
          </w:p>
          <w:p w14:paraId="56668FF7">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国家知识产权局</w:t>
            </w:r>
          </w:p>
        </w:tc>
        <w:tc>
          <w:tcPr>
            <w:tcW w:w="881" w:type="dxa"/>
            <w:tcMar>
              <w:left w:w="57" w:type="dxa"/>
              <w:right w:w="57" w:type="dxa"/>
            </w:tcMar>
            <w:vAlign w:val="center"/>
          </w:tcPr>
          <w:p w14:paraId="3371720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广西壮族自治区水牛研究所</w:t>
            </w:r>
          </w:p>
        </w:tc>
        <w:tc>
          <w:tcPr>
            <w:tcW w:w="849" w:type="dxa"/>
            <w:tcMar>
              <w:left w:w="57" w:type="dxa"/>
              <w:right w:w="57" w:type="dxa"/>
            </w:tcMar>
            <w:vAlign w:val="center"/>
          </w:tcPr>
          <w:p w14:paraId="767D31E3">
            <w:pPr>
              <w:keepNext w:val="0"/>
              <w:keepLines w:val="0"/>
              <w:pageBreakBefore w:val="0"/>
              <w:widowControl w:val="0"/>
              <w:kinsoku/>
              <w:overflowPunct/>
              <w:topLinePunct w:val="0"/>
              <w:bidi w:val="0"/>
              <w:adjustRightInd w:val="0"/>
              <w:snapToGrid w:val="0"/>
              <w:spacing w:beforeAutospacing="0" w:afterAutospacing="0" w:line="260" w:lineRule="exact"/>
              <w:jc w:val="left"/>
              <w:textAlignment w:val="auto"/>
              <w:rPr>
                <w:rFonts w:ascii="仿宋_GB2312" w:hAnsi="仿宋_GB2312" w:eastAsia="仿宋_GB2312" w:cs="仿宋_GB2312"/>
                <w:bCs/>
                <w:szCs w:val="21"/>
              </w:rPr>
            </w:pPr>
            <w:r>
              <w:rPr>
                <w:rFonts w:hint="default" w:ascii="Times New Roman" w:hAnsi="Times New Roman" w:eastAsia="仿宋_GB2312" w:cs="Times New Roman"/>
                <w:szCs w:val="21"/>
                <w:lang w:val="en-US" w:eastAsia="zh-CN"/>
              </w:rPr>
              <w:t>李治培</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lang w:val="en-US" w:eastAsia="zh-CN"/>
              </w:rPr>
              <w:t>谢华德</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lang w:val="en-US" w:eastAsia="zh-CN"/>
              </w:rPr>
              <w:t>赵朝步</w:t>
            </w:r>
          </w:p>
        </w:tc>
        <w:tc>
          <w:tcPr>
            <w:tcW w:w="800" w:type="dxa"/>
            <w:tcMar>
              <w:left w:w="57" w:type="dxa"/>
              <w:right w:w="57" w:type="dxa"/>
            </w:tcMar>
            <w:vAlign w:val="center"/>
          </w:tcPr>
          <w:p w14:paraId="4C69365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有效</w:t>
            </w:r>
          </w:p>
        </w:tc>
        <w:tc>
          <w:tcPr>
            <w:tcW w:w="1174" w:type="dxa"/>
            <w:tcMar>
              <w:left w:w="57" w:type="dxa"/>
              <w:right w:w="57" w:type="dxa"/>
            </w:tcMar>
            <w:vAlign w:val="center"/>
          </w:tcPr>
          <w:p w14:paraId="4C6CCF70">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r>
              <w:rPr>
                <w:rFonts w:hint="default" w:ascii="Times New Roman" w:hAnsi="Times New Roman" w:eastAsia="仿宋_GB2312" w:cs="Times New Roman"/>
                <w:szCs w:val="21"/>
              </w:rPr>
              <w:t>是</w:t>
            </w:r>
          </w:p>
        </w:tc>
      </w:tr>
      <w:tr w14:paraId="50A944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4" w:type="dxa"/>
            <w:tcMar>
              <w:left w:w="57" w:type="dxa"/>
              <w:right w:w="57" w:type="dxa"/>
            </w:tcMar>
            <w:vAlign w:val="center"/>
          </w:tcPr>
          <w:p w14:paraId="614FB961">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论文名称</w:t>
            </w:r>
          </w:p>
        </w:tc>
        <w:tc>
          <w:tcPr>
            <w:tcW w:w="1321" w:type="dxa"/>
            <w:gridSpan w:val="2"/>
            <w:tcMar>
              <w:left w:w="57" w:type="dxa"/>
              <w:right w:w="57" w:type="dxa"/>
            </w:tcMar>
            <w:vAlign w:val="center"/>
          </w:tcPr>
          <w:p w14:paraId="1BBBB410">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刊名</w:t>
            </w:r>
          </w:p>
        </w:tc>
        <w:tc>
          <w:tcPr>
            <w:tcW w:w="1011" w:type="dxa"/>
            <w:tcMar>
              <w:left w:w="57" w:type="dxa"/>
              <w:right w:w="57" w:type="dxa"/>
            </w:tcMar>
            <w:vAlign w:val="center"/>
          </w:tcPr>
          <w:p w14:paraId="2D1AE7AF">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作者</w:t>
            </w:r>
          </w:p>
        </w:tc>
        <w:tc>
          <w:tcPr>
            <w:tcW w:w="999" w:type="dxa"/>
            <w:tcMar>
              <w:left w:w="57" w:type="dxa"/>
              <w:right w:w="57" w:type="dxa"/>
            </w:tcMar>
            <w:vAlign w:val="center"/>
          </w:tcPr>
          <w:p w14:paraId="1E08D4DD">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年卷页码(xx年xx卷xx页)</w:t>
            </w:r>
          </w:p>
        </w:tc>
        <w:tc>
          <w:tcPr>
            <w:tcW w:w="855" w:type="dxa"/>
            <w:tcMar>
              <w:left w:w="57" w:type="dxa"/>
              <w:right w:w="57" w:type="dxa"/>
            </w:tcMar>
            <w:vAlign w:val="center"/>
          </w:tcPr>
          <w:p w14:paraId="4A49EED0">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发表时间（年月日）</w:t>
            </w:r>
          </w:p>
        </w:tc>
        <w:tc>
          <w:tcPr>
            <w:tcW w:w="1036" w:type="dxa"/>
            <w:tcMar>
              <w:left w:w="57" w:type="dxa"/>
              <w:right w:w="57" w:type="dxa"/>
            </w:tcMar>
            <w:vAlign w:val="center"/>
          </w:tcPr>
          <w:p w14:paraId="4451E29A">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通讯作者（含共同）</w:t>
            </w:r>
          </w:p>
        </w:tc>
        <w:tc>
          <w:tcPr>
            <w:tcW w:w="881" w:type="dxa"/>
            <w:tcMar>
              <w:left w:w="57" w:type="dxa"/>
              <w:right w:w="57" w:type="dxa"/>
            </w:tcMar>
            <w:vAlign w:val="center"/>
          </w:tcPr>
          <w:p w14:paraId="44481A58">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第一作者(含共同)</w:t>
            </w:r>
          </w:p>
        </w:tc>
        <w:tc>
          <w:tcPr>
            <w:tcW w:w="849" w:type="dxa"/>
            <w:tcMar>
              <w:left w:w="57" w:type="dxa"/>
              <w:right w:w="57" w:type="dxa"/>
            </w:tcMar>
            <w:vAlign w:val="center"/>
          </w:tcPr>
          <w:p w14:paraId="2C98BD44">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署名单位</w:t>
            </w:r>
          </w:p>
        </w:tc>
        <w:tc>
          <w:tcPr>
            <w:tcW w:w="800" w:type="dxa"/>
            <w:tcMar>
              <w:left w:w="57" w:type="dxa"/>
              <w:right w:w="57" w:type="dxa"/>
            </w:tcMar>
            <w:vAlign w:val="center"/>
          </w:tcPr>
          <w:p w14:paraId="72BA3958">
            <w:pPr>
              <w:spacing w:line="260" w:lineRule="exact"/>
              <w:jc w:val="center"/>
              <w:rPr>
                <w:rFonts w:ascii="黑体" w:hAnsi="黑体" w:eastAsia="黑体" w:cs="黑体"/>
                <w:bCs/>
                <w:sz w:val="18"/>
                <w:szCs w:val="18"/>
              </w:rPr>
            </w:pPr>
          </w:p>
        </w:tc>
        <w:tc>
          <w:tcPr>
            <w:tcW w:w="1174" w:type="dxa"/>
            <w:tcMar>
              <w:left w:w="57" w:type="dxa"/>
              <w:right w:w="57" w:type="dxa"/>
            </w:tcMar>
            <w:vAlign w:val="center"/>
          </w:tcPr>
          <w:p w14:paraId="45B889A0">
            <w:pPr>
              <w:spacing w:line="260" w:lineRule="exact"/>
              <w:jc w:val="center"/>
              <w:rPr>
                <w:rFonts w:ascii="黑体" w:hAnsi="黑体" w:eastAsia="黑体" w:cs="黑体"/>
                <w:bCs/>
                <w:sz w:val="18"/>
                <w:szCs w:val="18"/>
              </w:rPr>
            </w:pPr>
            <w:r>
              <w:rPr>
                <w:rFonts w:ascii="Times New Roman" w:hAnsi="Times New Roman" w:eastAsia="宋体" w:cs="Times New Roman"/>
                <w:sz w:val="18"/>
                <w:szCs w:val="18"/>
              </w:rPr>
              <w:t>广西单位是否</w:t>
            </w:r>
            <w:r>
              <w:rPr>
                <w:rFonts w:hint="eastAsia" w:ascii="Times New Roman" w:hAnsi="Times New Roman" w:eastAsia="宋体" w:cs="Times New Roman"/>
                <w:sz w:val="18"/>
                <w:szCs w:val="18"/>
              </w:rPr>
              <w:t>署名</w:t>
            </w:r>
          </w:p>
        </w:tc>
      </w:tr>
      <w:tr w14:paraId="36DE5B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054" w:type="dxa"/>
            <w:tcMar>
              <w:left w:w="57" w:type="dxa"/>
              <w:right w:w="57" w:type="dxa"/>
            </w:tcMar>
            <w:vAlign w:val="center"/>
          </w:tcPr>
          <w:p w14:paraId="1D1009C4">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Maternal transcription profiles at different stages for the development of early embryo in buffalo</w:t>
            </w:r>
          </w:p>
        </w:tc>
        <w:tc>
          <w:tcPr>
            <w:tcW w:w="1321" w:type="dxa"/>
            <w:gridSpan w:val="2"/>
            <w:tcMar>
              <w:left w:w="57" w:type="dxa"/>
              <w:right w:w="57" w:type="dxa"/>
            </w:tcMar>
            <w:vAlign w:val="center"/>
          </w:tcPr>
          <w:p w14:paraId="594AEF9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eastAsia" w:ascii="Times New Roman" w:hAnsi="Times New Roman" w:eastAsia="仿宋_GB2312" w:cs="Times New Roman"/>
                <w:szCs w:val="21"/>
              </w:rPr>
              <w:t>Reproduction in Domestic Animals</w:t>
            </w:r>
          </w:p>
        </w:tc>
        <w:tc>
          <w:tcPr>
            <w:tcW w:w="1011" w:type="dxa"/>
            <w:tcMar>
              <w:left w:w="57" w:type="dxa"/>
              <w:right w:w="57" w:type="dxa"/>
            </w:tcMar>
            <w:vAlign w:val="center"/>
          </w:tcPr>
          <w:p w14:paraId="06C6D05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Fumei Chen, Qiang Fu#, Liping Pu, Zhen Hou, Zhuangzhuang Xu, Pengfei Zhang, Tingxian Deng, Chunying Pang, Xianwei Liang, Yangqing Lu, Ming Zhang.</w:t>
            </w:r>
          </w:p>
        </w:tc>
        <w:tc>
          <w:tcPr>
            <w:tcW w:w="999" w:type="dxa"/>
            <w:tcMar>
              <w:left w:w="57" w:type="dxa"/>
              <w:right w:w="57" w:type="dxa"/>
            </w:tcMar>
            <w:vAlign w:val="center"/>
          </w:tcPr>
          <w:p w14:paraId="4FAA7197">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2020, 55(4): 503-514</w:t>
            </w:r>
          </w:p>
        </w:tc>
        <w:tc>
          <w:tcPr>
            <w:tcW w:w="855" w:type="dxa"/>
            <w:tcMar>
              <w:left w:w="57" w:type="dxa"/>
              <w:right w:w="57" w:type="dxa"/>
            </w:tcMar>
            <w:vAlign w:val="center"/>
          </w:tcPr>
          <w:p w14:paraId="48CDBCD6">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2020</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lang w:val="en-US" w:eastAsia="zh-CN"/>
              </w:rPr>
              <w:t>2</w:t>
            </w:r>
            <w:r>
              <w:rPr>
                <w:rFonts w:hint="eastAsia" w:ascii="Times New Roman" w:hAnsi="Times New Roman" w:eastAsia="仿宋_GB2312" w:cs="Times New Roman"/>
                <w:szCs w:val="21"/>
                <w:lang w:val="en-US" w:eastAsia="zh-CN"/>
              </w:rPr>
              <w:t>-</w:t>
            </w:r>
            <w:r>
              <w:rPr>
                <w:rFonts w:hint="default" w:ascii="Times New Roman" w:hAnsi="Times New Roman" w:eastAsia="仿宋_GB2312" w:cs="Times New Roman"/>
                <w:szCs w:val="21"/>
                <w:lang w:val="en-US" w:eastAsia="zh-CN"/>
              </w:rPr>
              <w:t>12</w:t>
            </w:r>
          </w:p>
        </w:tc>
        <w:tc>
          <w:tcPr>
            <w:tcW w:w="1036" w:type="dxa"/>
            <w:tcMar>
              <w:left w:w="57" w:type="dxa"/>
              <w:right w:w="57" w:type="dxa"/>
            </w:tcMar>
            <w:vAlign w:val="center"/>
          </w:tcPr>
          <w:p w14:paraId="45864810">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Qiang Fu</w:t>
            </w:r>
          </w:p>
        </w:tc>
        <w:tc>
          <w:tcPr>
            <w:tcW w:w="881" w:type="dxa"/>
            <w:tcMar>
              <w:left w:w="57" w:type="dxa"/>
              <w:right w:w="57" w:type="dxa"/>
            </w:tcMar>
            <w:vAlign w:val="center"/>
          </w:tcPr>
          <w:p w14:paraId="50C44E33">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Fumei Chen</w:t>
            </w:r>
          </w:p>
        </w:tc>
        <w:tc>
          <w:tcPr>
            <w:tcW w:w="849" w:type="dxa"/>
            <w:tcMar>
              <w:left w:w="57" w:type="dxa"/>
              <w:right w:w="57" w:type="dxa"/>
            </w:tcMar>
            <w:vAlign w:val="center"/>
          </w:tcPr>
          <w:p w14:paraId="234380C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广西  大学</w:t>
            </w:r>
          </w:p>
        </w:tc>
        <w:tc>
          <w:tcPr>
            <w:tcW w:w="800" w:type="dxa"/>
            <w:tcMar>
              <w:left w:w="57" w:type="dxa"/>
              <w:right w:w="57" w:type="dxa"/>
            </w:tcMar>
            <w:vAlign w:val="center"/>
          </w:tcPr>
          <w:p w14:paraId="60A441C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p>
        </w:tc>
        <w:tc>
          <w:tcPr>
            <w:tcW w:w="1174" w:type="dxa"/>
            <w:tcMar>
              <w:left w:w="57" w:type="dxa"/>
              <w:right w:w="57" w:type="dxa"/>
            </w:tcMar>
            <w:vAlign w:val="center"/>
          </w:tcPr>
          <w:p w14:paraId="0BC2B9D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eastAsia" w:ascii="Times New Roman" w:hAnsi="Times New Roman" w:eastAsia="仿宋_GB2312" w:cs="Times New Roman"/>
                <w:szCs w:val="21"/>
                <w:lang w:val="en-US" w:eastAsia="zh-CN"/>
              </w:rPr>
              <w:t>是</w:t>
            </w:r>
          </w:p>
        </w:tc>
      </w:tr>
      <w:tr w14:paraId="314DCC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054" w:type="dxa"/>
            <w:tcMar>
              <w:left w:w="57" w:type="dxa"/>
              <w:right w:w="57" w:type="dxa"/>
            </w:tcMar>
            <w:vAlign w:val="center"/>
          </w:tcPr>
          <w:p w14:paraId="54E06F7B">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Nlrp5 and Tle6 expression patterns in buffalo oocytes and preimplantation embryos.</w:t>
            </w:r>
          </w:p>
        </w:tc>
        <w:tc>
          <w:tcPr>
            <w:tcW w:w="1321" w:type="dxa"/>
            <w:gridSpan w:val="2"/>
            <w:tcMar>
              <w:left w:w="57" w:type="dxa"/>
              <w:right w:w="57" w:type="dxa"/>
            </w:tcMar>
            <w:vAlign w:val="center"/>
          </w:tcPr>
          <w:p w14:paraId="49C7D1E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Reproduction in Domestic Animals</w:t>
            </w:r>
          </w:p>
        </w:tc>
        <w:tc>
          <w:tcPr>
            <w:tcW w:w="1011" w:type="dxa"/>
            <w:tcMar>
              <w:left w:w="57" w:type="dxa"/>
              <w:right w:w="57" w:type="dxa"/>
            </w:tcMar>
            <w:vAlign w:val="center"/>
          </w:tcPr>
          <w:p w14:paraId="64E10B6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Xingchen Huang, Qinqiang Sun, Dongrong Chen, Weihan Yang, Junjun Zhang, Runfeng Liu, Pengfei Zhang, Liangfeng Huang, Ming Zhang, Qiang Fu*.</w:t>
            </w:r>
          </w:p>
        </w:tc>
        <w:tc>
          <w:tcPr>
            <w:tcW w:w="999" w:type="dxa"/>
            <w:tcMar>
              <w:left w:w="57" w:type="dxa"/>
              <w:right w:w="57" w:type="dxa"/>
            </w:tcMar>
            <w:vAlign w:val="center"/>
          </w:tcPr>
          <w:p w14:paraId="744BD5F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2022,</w:t>
            </w:r>
            <w:r>
              <w:rPr>
                <w:rFonts w:hint="default" w:ascii="Times New Roman" w:hAnsi="Times New Roman" w:eastAsia="仿宋_GB2312" w:cs="Times New Roman"/>
                <w:szCs w:val="21"/>
                <w:lang w:val="en-US" w:eastAsia="zh-CN"/>
              </w:rPr>
              <w:t>57</w:t>
            </w:r>
            <w:r>
              <w:rPr>
                <w:rFonts w:hint="default" w:ascii="Times New Roman" w:hAnsi="Times New Roman" w:eastAsia="仿宋_GB2312" w:cs="Times New Roman"/>
                <w:szCs w:val="21"/>
              </w:rPr>
              <w:t>:</w:t>
            </w:r>
            <w:r>
              <w:rPr>
                <w:rFonts w:hint="default" w:ascii="Times New Roman" w:hAnsi="Times New Roman" w:eastAsia="仿宋_GB2312" w:cs="Times New Roman"/>
                <w:szCs w:val="21"/>
                <w:lang w:val="en-US" w:eastAsia="zh-CN"/>
              </w:rPr>
              <w:t>48</w:t>
            </w:r>
            <w:r>
              <w:rPr>
                <w:rFonts w:hint="default" w:ascii="Times New Roman" w:hAnsi="Times New Roman" w:eastAsia="仿宋_GB2312" w:cs="Times New Roman"/>
                <w:szCs w:val="21"/>
              </w:rPr>
              <w:t>1–</w:t>
            </w:r>
            <w:r>
              <w:rPr>
                <w:rFonts w:hint="default" w:ascii="Times New Roman" w:hAnsi="Times New Roman" w:eastAsia="仿宋_GB2312" w:cs="Times New Roman"/>
                <w:szCs w:val="21"/>
                <w:lang w:val="en-US" w:eastAsia="zh-CN"/>
              </w:rPr>
              <w:t>48</w:t>
            </w:r>
            <w:r>
              <w:rPr>
                <w:rFonts w:hint="default" w:ascii="Times New Roman" w:hAnsi="Times New Roman" w:eastAsia="仿宋_GB2312" w:cs="Times New Roman"/>
                <w:szCs w:val="21"/>
              </w:rPr>
              <w:t>8.</w:t>
            </w:r>
          </w:p>
        </w:tc>
        <w:tc>
          <w:tcPr>
            <w:tcW w:w="855" w:type="dxa"/>
            <w:tcMar>
              <w:left w:w="57" w:type="dxa"/>
              <w:right w:w="57" w:type="dxa"/>
            </w:tcMar>
            <w:vAlign w:val="center"/>
          </w:tcPr>
          <w:p w14:paraId="0EFE073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2022-01-14</w:t>
            </w:r>
          </w:p>
        </w:tc>
        <w:tc>
          <w:tcPr>
            <w:tcW w:w="1036" w:type="dxa"/>
            <w:tcMar>
              <w:left w:w="57" w:type="dxa"/>
              <w:right w:w="57" w:type="dxa"/>
            </w:tcMar>
            <w:vAlign w:val="center"/>
          </w:tcPr>
          <w:p w14:paraId="6BE2B9F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Qiang Fu</w:t>
            </w:r>
          </w:p>
        </w:tc>
        <w:tc>
          <w:tcPr>
            <w:tcW w:w="881" w:type="dxa"/>
            <w:tcMar>
              <w:left w:w="57" w:type="dxa"/>
              <w:right w:w="57" w:type="dxa"/>
            </w:tcMar>
            <w:vAlign w:val="center"/>
          </w:tcPr>
          <w:p w14:paraId="72542660">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Xingchen Huang</w:t>
            </w:r>
          </w:p>
        </w:tc>
        <w:tc>
          <w:tcPr>
            <w:tcW w:w="849" w:type="dxa"/>
            <w:tcMar>
              <w:left w:w="57" w:type="dxa"/>
              <w:right w:w="57" w:type="dxa"/>
            </w:tcMar>
            <w:vAlign w:val="center"/>
          </w:tcPr>
          <w:p w14:paraId="24B166F5">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广西  大学</w:t>
            </w:r>
          </w:p>
        </w:tc>
        <w:tc>
          <w:tcPr>
            <w:tcW w:w="800" w:type="dxa"/>
            <w:tcMar>
              <w:left w:w="57" w:type="dxa"/>
              <w:right w:w="57" w:type="dxa"/>
            </w:tcMar>
            <w:vAlign w:val="center"/>
          </w:tcPr>
          <w:p w14:paraId="0191330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p>
        </w:tc>
        <w:tc>
          <w:tcPr>
            <w:tcW w:w="1174" w:type="dxa"/>
            <w:tcMar>
              <w:left w:w="57" w:type="dxa"/>
              <w:right w:w="57" w:type="dxa"/>
            </w:tcMar>
            <w:vAlign w:val="center"/>
          </w:tcPr>
          <w:p w14:paraId="677129A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是</w:t>
            </w:r>
          </w:p>
        </w:tc>
      </w:tr>
      <w:tr w14:paraId="62286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054" w:type="dxa"/>
            <w:tcMar>
              <w:left w:w="57" w:type="dxa"/>
              <w:right w:w="57" w:type="dxa"/>
            </w:tcMar>
            <w:vAlign w:val="center"/>
          </w:tcPr>
          <w:p w14:paraId="57CB30BF">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 xml:space="preserve">Comparative proteomic analysis of poorly motile swamp buffalo spermatozoa reveal low energy metabolism and deficiencies in motility-related proteins. </w:t>
            </w:r>
          </w:p>
        </w:tc>
        <w:tc>
          <w:tcPr>
            <w:tcW w:w="1321" w:type="dxa"/>
            <w:gridSpan w:val="2"/>
            <w:tcMar>
              <w:left w:w="57" w:type="dxa"/>
              <w:right w:w="57" w:type="dxa"/>
            </w:tcMar>
            <w:vAlign w:val="center"/>
          </w:tcPr>
          <w:p w14:paraId="3464EC73">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eastAsia"/>
                <w:color w:val="000000"/>
                <w:sz w:val="21"/>
                <w:szCs w:val="21"/>
                <w:shd w:val="clear" w:color="auto" w:fill="FFFFFF"/>
              </w:rPr>
              <w:t>Animals (Basel)</w:t>
            </w:r>
          </w:p>
        </w:tc>
        <w:tc>
          <w:tcPr>
            <w:tcW w:w="1011" w:type="dxa"/>
            <w:tcMar>
              <w:left w:w="57" w:type="dxa"/>
              <w:right w:w="57" w:type="dxa"/>
            </w:tcMar>
            <w:vAlign w:val="center"/>
          </w:tcPr>
          <w:p w14:paraId="14E8F8E8">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ascii="仿宋_GB2312" w:hAnsi="仿宋_GB2312" w:eastAsia="仿宋_GB2312" w:cs="仿宋_GB2312"/>
                <w:szCs w:val="21"/>
              </w:rPr>
            </w:pPr>
            <w:r>
              <w:rPr>
                <w:rFonts w:hint="default" w:ascii="Times New Roman" w:hAnsi="Times New Roman" w:eastAsia="仿宋_GB2312" w:cs="Times New Roman"/>
                <w:szCs w:val="21"/>
              </w:rPr>
              <w:t>Runfeng Liu, Xingchen Huang, Qinqiang Sun, Zhen Hou, Weihan Yang, Junjun Zhang, Pengfei Zhang, Liangfeng Huang, Yangqing Lu, Qiang Fu*</w:t>
            </w:r>
          </w:p>
        </w:tc>
        <w:tc>
          <w:tcPr>
            <w:tcW w:w="999" w:type="dxa"/>
            <w:tcMar>
              <w:left w:w="57" w:type="dxa"/>
              <w:right w:w="57" w:type="dxa"/>
            </w:tcMar>
            <w:vAlign w:val="center"/>
          </w:tcPr>
          <w:p w14:paraId="0DDC5C47">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color w:val="000000"/>
                <w:sz w:val="21"/>
                <w:szCs w:val="21"/>
                <w:shd w:val="clear" w:color="auto" w:fill="FFFFFF"/>
              </w:rPr>
              <w:t>2022,</w:t>
            </w:r>
            <w:r>
              <w:rPr>
                <w:rFonts w:hint="eastAsia"/>
                <w:color w:val="000000"/>
                <w:sz w:val="21"/>
                <w:szCs w:val="21"/>
                <w:shd w:val="clear" w:color="auto" w:fill="FFFFFF"/>
              </w:rPr>
              <w:t xml:space="preserve"> </w:t>
            </w:r>
            <w:r>
              <w:rPr>
                <w:color w:val="000000"/>
                <w:sz w:val="21"/>
                <w:szCs w:val="21"/>
                <w:shd w:val="clear" w:color="auto" w:fill="FFFFFF"/>
              </w:rPr>
              <w:t>12</w:t>
            </w:r>
            <w:r>
              <w:rPr>
                <w:rFonts w:hint="eastAsia"/>
                <w:color w:val="000000"/>
                <w:sz w:val="21"/>
                <w:szCs w:val="21"/>
                <w:shd w:val="clear" w:color="auto" w:fill="FFFFFF"/>
              </w:rPr>
              <w:t>,</w:t>
            </w:r>
            <w:r>
              <w:rPr>
                <w:color w:val="000000"/>
                <w:sz w:val="21"/>
                <w:szCs w:val="21"/>
                <w:shd w:val="clear" w:color="auto" w:fill="FFFFFF"/>
              </w:rPr>
              <w:t xml:space="preserve"> 1706</w:t>
            </w:r>
          </w:p>
        </w:tc>
        <w:tc>
          <w:tcPr>
            <w:tcW w:w="855" w:type="dxa"/>
            <w:tcMar>
              <w:left w:w="57" w:type="dxa"/>
              <w:right w:w="57" w:type="dxa"/>
            </w:tcMar>
            <w:vAlign w:val="center"/>
          </w:tcPr>
          <w:p w14:paraId="7FDF55C3">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2022-0</w:t>
            </w:r>
            <w:r>
              <w:rPr>
                <w:rFonts w:hint="eastAsia" w:eastAsia="仿宋_GB2312" w:cs="Times New Roman"/>
                <w:szCs w:val="21"/>
                <w:lang w:val="en-US" w:eastAsia="zh-CN"/>
              </w:rPr>
              <w:t>7</w:t>
            </w:r>
            <w:r>
              <w:rPr>
                <w:rFonts w:hint="default" w:ascii="Times New Roman" w:hAnsi="Times New Roman" w:eastAsia="仿宋_GB2312" w:cs="Times New Roman"/>
                <w:szCs w:val="21"/>
                <w:lang w:val="en-US" w:eastAsia="zh-CN"/>
              </w:rPr>
              <w:t>-</w:t>
            </w:r>
            <w:r>
              <w:rPr>
                <w:rFonts w:hint="eastAsia" w:eastAsia="仿宋_GB2312" w:cs="Times New Roman"/>
                <w:szCs w:val="21"/>
                <w:lang w:val="en-US" w:eastAsia="zh-CN"/>
              </w:rPr>
              <w:t>01</w:t>
            </w:r>
          </w:p>
        </w:tc>
        <w:tc>
          <w:tcPr>
            <w:tcW w:w="1036" w:type="dxa"/>
            <w:tcMar>
              <w:left w:w="57" w:type="dxa"/>
              <w:right w:w="57" w:type="dxa"/>
            </w:tcMar>
            <w:vAlign w:val="center"/>
          </w:tcPr>
          <w:p w14:paraId="629702C6">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Qiang Fu</w:t>
            </w:r>
          </w:p>
        </w:tc>
        <w:tc>
          <w:tcPr>
            <w:tcW w:w="881" w:type="dxa"/>
            <w:tcMar>
              <w:left w:w="57" w:type="dxa"/>
              <w:right w:w="57" w:type="dxa"/>
            </w:tcMar>
            <w:vAlign w:val="center"/>
          </w:tcPr>
          <w:p w14:paraId="5D8CB58F">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Runfeng Liu</w:t>
            </w:r>
          </w:p>
        </w:tc>
        <w:tc>
          <w:tcPr>
            <w:tcW w:w="849" w:type="dxa"/>
            <w:tcMar>
              <w:left w:w="57" w:type="dxa"/>
              <w:right w:w="57" w:type="dxa"/>
            </w:tcMar>
            <w:vAlign w:val="center"/>
          </w:tcPr>
          <w:p w14:paraId="11F8BC8D">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广西  大学</w:t>
            </w:r>
          </w:p>
        </w:tc>
        <w:tc>
          <w:tcPr>
            <w:tcW w:w="800" w:type="dxa"/>
            <w:tcMar>
              <w:left w:w="57" w:type="dxa"/>
              <w:right w:w="57" w:type="dxa"/>
            </w:tcMar>
            <w:vAlign w:val="center"/>
          </w:tcPr>
          <w:p w14:paraId="33DBDF7B">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bCs/>
                <w:szCs w:val="21"/>
              </w:rPr>
            </w:pPr>
          </w:p>
        </w:tc>
        <w:tc>
          <w:tcPr>
            <w:tcW w:w="1174" w:type="dxa"/>
            <w:tcMar>
              <w:left w:w="57" w:type="dxa"/>
              <w:right w:w="57" w:type="dxa"/>
            </w:tcMar>
            <w:vAlign w:val="center"/>
          </w:tcPr>
          <w:p w14:paraId="03291A88">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ascii="仿宋_GB2312" w:hAnsi="仿宋_GB2312" w:eastAsia="仿宋_GB2312" w:cs="仿宋_GB2312"/>
                <w:szCs w:val="21"/>
              </w:rPr>
            </w:pPr>
            <w:r>
              <w:rPr>
                <w:rFonts w:hint="eastAsia" w:eastAsia="仿宋_GB2312" w:cs="Times New Roman"/>
                <w:szCs w:val="21"/>
                <w:lang w:val="en-US" w:eastAsia="zh-CN"/>
              </w:rPr>
              <w:t>是</w:t>
            </w:r>
          </w:p>
        </w:tc>
      </w:tr>
      <w:tr w14:paraId="466E1B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054" w:type="dxa"/>
            <w:tcMar>
              <w:left w:w="57" w:type="dxa"/>
              <w:right w:w="57" w:type="dxa"/>
            </w:tcMar>
            <w:vAlign w:val="center"/>
          </w:tcPr>
          <w:p w14:paraId="278D220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连续活体采卵对水牛卵母质量的影响</w:t>
            </w:r>
          </w:p>
        </w:tc>
        <w:tc>
          <w:tcPr>
            <w:tcW w:w="1321" w:type="dxa"/>
            <w:gridSpan w:val="2"/>
            <w:tcMar>
              <w:left w:w="57" w:type="dxa"/>
              <w:right w:w="57" w:type="dxa"/>
            </w:tcMar>
            <w:vAlign w:val="center"/>
          </w:tcPr>
          <w:p w14:paraId="5F2218C4">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中国畜牧杂志</w:t>
            </w:r>
          </w:p>
        </w:tc>
        <w:tc>
          <w:tcPr>
            <w:tcW w:w="1011" w:type="dxa"/>
            <w:tcMar>
              <w:left w:w="57" w:type="dxa"/>
              <w:right w:w="57" w:type="dxa"/>
            </w:tcMar>
            <w:vAlign w:val="center"/>
          </w:tcPr>
          <w:p w14:paraId="4C3D4EF9">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hint="eastAsia" w:ascii="Times New Roman" w:hAnsi="Times New Roman" w:eastAsia="仿宋_GB2312" w:cs="Times New Roman"/>
                <w:szCs w:val="21"/>
                <w:lang w:eastAsia="zh-CN"/>
              </w:rPr>
            </w:pP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"https://kns.cnki.net/kcms2/author/detail?v=VtEo6IuKaTDybjl3POPefk8G6AyUN642e6q44kpmdi9b3YqvTmGk3Sx-j8QkdSCJhfuI8bZxIcxzGpVL_LrfPVizSxQZt18-F8myOYhuAyc=&amp;uniplatform=NZKPT"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覃广胜</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"https://kns.cnki.net/kcms2/author/detail?v=VtEo6IuKaTDybjl3POPefk8G6AyUN642rMCdgzns_GrM55yBbsWSu248VDnYW_JvhNSqZOuhot0b3uYc_dD7PkwzVtn5ajHDLMCpY22rqPE=&amp;uniplatform=NZKPT"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赵朝步</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"https://kns.cnki.net/kcms2/author/detail?v=VtEo6IuKaTDybjl3POPefk8G6AyUN642m5vxT5zGb8AyTtFhuyMEcbdG8WFdqDOYjv36z_1uOIU9r2KyFNy0qamjPq4Iwg_LHEeaLH6TquA=&amp;uniplatform=NZKPT"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陈明棠</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"https://kns.cnki.net/kcms2/author/detail?v=VtEo6IuKaTDybjl3POPefk8G6AyUN642qejQW_w1LmeG5bXel80hhB4eFGJqeq_hPcZSGT1dbgjFQKNKTobW1PyfIipLNYWAsixD6UeWBqg=&amp;uniplatform=NZKPT"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黄</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健</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"https://kns.cnki.net/kcms2/author/detail?v=VtEo6IuKaTDybjl3POPefk8G6AyUN642UxY6L2iXpLAYXoEVR3qZxIVfBmxez54vI3vsqb5mBO-DxS2XiUatX4VExfhdO88HHjSLzkl5muM=&amp;uniplatform=NZKPT"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李</w:t>
            </w:r>
            <w:r>
              <w:rPr>
                <w:rFonts w:hint="eastAsia"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辉</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p>
          <w:p w14:paraId="3DCE77C9">
            <w:pPr>
              <w:keepNext w:val="0"/>
              <w:keepLines w:val="0"/>
              <w:pageBreakBefore w:val="0"/>
              <w:widowControl w:val="0"/>
              <w:kinsoku/>
              <w:overflowPunct/>
              <w:topLinePunct w:val="0"/>
              <w:bidi w:val="0"/>
              <w:adjustRightInd w:val="0"/>
              <w:snapToGrid w:val="0"/>
              <w:spacing w:beforeAutospacing="0" w:afterAutospacing="0" w:line="260" w:lineRule="exact"/>
              <w:jc w:val="left"/>
              <w:textAlignment w:val="auto"/>
              <w:rPr>
                <w:rFonts w:ascii="仿宋_GB2312" w:hAnsi="仿宋_GB2312" w:eastAsia="仿宋_GB2312" w:cs="仿宋_GB2312"/>
                <w:szCs w:val="21"/>
              </w:rPr>
            </w:pP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"https://kns.cnki.net/kcms2/author/detail?v=VtEo6IuKaTDybjl3POPefk8G6AyUN642YMTU6NRFqStFVxuH6r_yA7T27AAZARMj1dAuG1pJZ4b2mc5CuUBx5KsTID7ZEKyYDJNl-lz6JHM=&amp;uniplatform=NZKPT"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谭正准</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"https://kns.cnki.net/kcms2/author/detail?v=VtEo6IuKaTDybjl3POPefk8G6AyUN6429PNYvStsjRd1Y6VGNPvcCWCi2IlcXWunwWvIKT_famjpQesE2M3f28NfWpkzpPi_vKwHIPMns_A=&amp;uniplatform=NZKPT"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钟华配</w:t>
            </w:r>
            <w:r>
              <w:rPr>
                <w:rFonts w:hint="default" w:ascii="Times New Roman" w:hAnsi="Times New Roman" w:eastAsia="仿宋_GB2312" w:cs="Times New Roman"/>
                <w:szCs w:val="21"/>
              </w:rPr>
              <w:fldChar w:fldCharType="end"/>
            </w:r>
            <w:r>
              <w:rPr>
                <w:rFonts w:hint="eastAsia" w:ascii="Times New Roman" w:hAnsi="Times New Roman" w:eastAsia="仿宋_GB2312" w:cs="Times New Roman"/>
                <w:szCs w:val="21"/>
                <w:lang w:eastAsia="zh-CN"/>
              </w:rPr>
              <w:t>、</w:t>
            </w:r>
            <w:r>
              <w:rPr>
                <w:rFonts w:hint="default" w:ascii="Times New Roman" w:hAnsi="Times New Roman" w:eastAsia="仿宋_GB2312" w:cs="Times New Roman"/>
                <w:szCs w:val="21"/>
              </w:rPr>
              <w:fldChar w:fldCharType="begin"/>
            </w:r>
            <w:r>
              <w:rPr>
                <w:rFonts w:hint="default" w:ascii="Times New Roman" w:hAnsi="Times New Roman" w:eastAsia="仿宋_GB2312" w:cs="Times New Roman"/>
                <w:szCs w:val="21"/>
              </w:rPr>
              <w:instrText xml:space="preserve"> HYPERLINK "https://kns.cnki.net/kcms2/author/detail?v=VtEo6IuKaTDdIxOJj6uhEqetVcS72vElelWY43ExSac_b5EuUlWqqybfe86grbh3eKdptNCYEMtgjt48_Q5NNBHHlZpmi7pnBuIWiHz---0=&amp;uniplatform=NZKPT" \t "https://kns.cnki.net/kcms2/article/_blank" </w:instrText>
            </w:r>
            <w:r>
              <w:rPr>
                <w:rFonts w:hint="default" w:ascii="Times New Roman" w:hAnsi="Times New Roman" w:eastAsia="仿宋_GB2312" w:cs="Times New Roman"/>
                <w:szCs w:val="21"/>
              </w:rPr>
              <w:fldChar w:fldCharType="separate"/>
            </w:r>
            <w:r>
              <w:rPr>
                <w:rFonts w:hint="default" w:ascii="Times New Roman" w:hAnsi="Times New Roman" w:eastAsia="仿宋_GB2312" w:cs="Times New Roman"/>
                <w:szCs w:val="21"/>
              </w:rPr>
              <w:t>黄加祥</w:t>
            </w:r>
            <w:r>
              <w:rPr>
                <w:rFonts w:hint="default" w:ascii="Times New Roman" w:hAnsi="Times New Roman" w:eastAsia="仿宋_GB2312" w:cs="Times New Roman"/>
                <w:szCs w:val="21"/>
              </w:rPr>
              <w:fldChar w:fldCharType="end"/>
            </w:r>
          </w:p>
        </w:tc>
        <w:tc>
          <w:tcPr>
            <w:tcW w:w="999" w:type="dxa"/>
            <w:tcMar>
              <w:left w:w="57" w:type="dxa"/>
              <w:right w:w="57" w:type="dxa"/>
            </w:tcMar>
            <w:vAlign w:val="center"/>
          </w:tcPr>
          <w:p w14:paraId="2909EEEC">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2020，56（08）：136-139</w:t>
            </w:r>
          </w:p>
        </w:tc>
        <w:tc>
          <w:tcPr>
            <w:tcW w:w="855" w:type="dxa"/>
            <w:tcMar>
              <w:left w:w="57" w:type="dxa"/>
              <w:right w:w="57" w:type="dxa"/>
            </w:tcMar>
            <w:vAlign w:val="center"/>
          </w:tcPr>
          <w:p w14:paraId="0ABDDA68">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2020-07-06</w:t>
            </w:r>
          </w:p>
        </w:tc>
        <w:tc>
          <w:tcPr>
            <w:tcW w:w="1036" w:type="dxa"/>
            <w:tcMar>
              <w:left w:w="57" w:type="dxa"/>
              <w:right w:w="57" w:type="dxa"/>
            </w:tcMar>
            <w:vAlign w:val="center"/>
          </w:tcPr>
          <w:p w14:paraId="2C161559">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黄加祥</w:t>
            </w:r>
          </w:p>
        </w:tc>
        <w:tc>
          <w:tcPr>
            <w:tcW w:w="881" w:type="dxa"/>
            <w:tcMar>
              <w:left w:w="57" w:type="dxa"/>
              <w:right w:w="57" w:type="dxa"/>
            </w:tcMar>
            <w:vAlign w:val="center"/>
          </w:tcPr>
          <w:p w14:paraId="047A24AA">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覃广胜</w:t>
            </w:r>
          </w:p>
        </w:tc>
        <w:tc>
          <w:tcPr>
            <w:tcW w:w="849" w:type="dxa"/>
            <w:tcMar>
              <w:left w:w="57" w:type="dxa"/>
              <w:right w:w="57" w:type="dxa"/>
            </w:tcMar>
            <w:vAlign w:val="center"/>
          </w:tcPr>
          <w:p w14:paraId="48E89E81">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广西壮族自治区水牛研究所</w:t>
            </w:r>
          </w:p>
        </w:tc>
        <w:tc>
          <w:tcPr>
            <w:tcW w:w="800" w:type="dxa"/>
            <w:tcMar>
              <w:left w:w="57" w:type="dxa"/>
              <w:right w:w="57" w:type="dxa"/>
            </w:tcMar>
            <w:vAlign w:val="center"/>
          </w:tcPr>
          <w:p w14:paraId="7F4664EF">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bCs/>
                <w:szCs w:val="21"/>
              </w:rPr>
            </w:pPr>
          </w:p>
        </w:tc>
        <w:tc>
          <w:tcPr>
            <w:tcW w:w="1174" w:type="dxa"/>
            <w:tcMar>
              <w:left w:w="57" w:type="dxa"/>
              <w:right w:w="57" w:type="dxa"/>
            </w:tcMar>
            <w:vAlign w:val="center"/>
          </w:tcPr>
          <w:p w14:paraId="5F16E0FD">
            <w:pPr>
              <w:keepNext w:val="0"/>
              <w:keepLines w:val="0"/>
              <w:pageBreakBefore w:val="0"/>
              <w:widowControl w:val="0"/>
              <w:kinsoku/>
              <w:overflowPunct/>
              <w:topLinePunct w:val="0"/>
              <w:bidi w:val="0"/>
              <w:adjustRightInd w:val="0"/>
              <w:snapToGrid w:val="0"/>
              <w:spacing w:beforeAutospacing="0" w:afterAutospacing="0" w:line="260" w:lineRule="exact"/>
              <w:jc w:val="center"/>
              <w:textAlignment w:val="auto"/>
              <w:rPr>
                <w:rFonts w:ascii="仿宋_GB2312" w:hAnsi="仿宋_GB2312" w:eastAsia="仿宋_GB2312" w:cs="仿宋_GB2312"/>
                <w:szCs w:val="21"/>
              </w:rPr>
            </w:pPr>
            <w:r>
              <w:rPr>
                <w:rFonts w:hint="default" w:ascii="Times New Roman" w:hAnsi="Times New Roman" w:eastAsia="仿宋_GB2312" w:cs="Times New Roman"/>
                <w:szCs w:val="21"/>
              </w:rPr>
              <w:t>是</w:t>
            </w:r>
          </w:p>
        </w:tc>
      </w:tr>
      <w:tr w14:paraId="178BE7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9980" w:type="dxa"/>
            <w:gridSpan w:val="11"/>
            <w:tcMar>
              <w:left w:w="57" w:type="dxa"/>
              <w:right w:w="57" w:type="dxa"/>
            </w:tcMar>
            <w:vAlign w:val="center"/>
          </w:tcPr>
          <w:p w14:paraId="16EE4749">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14:paraId="1EB8A547">
            <w:pPr>
              <w:spacing w:line="2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val="en-US" w:eastAsia="zh-CN"/>
              </w:rPr>
              <w:t>二</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val="en-US" w:eastAsia="zh-CN"/>
              </w:rPr>
              <w:t>三</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等奖候选个人、候选组织。</w:t>
            </w:r>
          </w:p>
        </w:tc>
      </w:tr>
      <w:tr w14:paraId="215107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80" w:type="dxa"/>
            <w:gridSpan w:val="11"/>
            <w:tcMar>
              <w:left w:w="57" w:type="dxa"/>
              <w:right w:w="57" w:type="dxa"/>
            </w:tcMar>
          </w:tcPr>
          <w:p w14:paraId="0206DFB4">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14:paraId="6F433EB6">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广西水牛研究所是全国唯一从事水牛科学研究与开发的科研机构，是成果技术创新的主要研究与推广应用力量，与其他候选组织联合开展奶水牛良种高效繁育和健康生态养殖技术创新及产业化应用，辐射带动全区水牛业的共同发展。</w:t>
            </w:r>
          </w:p>
        </w:tc>
      </w:tr>
      <w:tr w14:paraId="2F8CFE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9980" w:type="dxa"/>
            <w:gridSpan w:val="11"/>
            <w:tcMar>
              <w:left w:w="57" w:type="dxa"/>
              <w:right w:w="57" w:type="dxa"/>
            </w:tcMar>
          </w:tcPr>
          <w:p w14:paraId="7C0E6DBC">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成果简介（不超过200字）：</w:t>
            </w:r>
          </w:p>
          <w:p w14:paraId="16AFC2E2">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项目通过优化奶水牛选种选育、胚胎体外生产、健康生态养殖及饲料配方等技术；首次创建环介导恒温扩增法应用于水牛早期胚胎的性别鉴定；建立不同发育阶段的胚胎的冷冻保存简易方法；首创良种地中海水牛冻精引进和推广应用；发布广西地方标准，研发新型饲料配方及养殖辅助技术，包括饲料、诱食剂、SNP分子标记及养殖污水处理装置等；技术集成后在示范县和规模养殖场中推广应用，取得显著的经济效益，为奶水牛产业提供强有力的科技支撑。</w:t>
            </w:r>
          </w:p>
        </w:tc>
      </w:tr>
    </w:tbl>
    <w:p w14:paraId="2D957C26">
      <w:pPr>
        <w:rPr>
          <w:rFonts w:hint="eastAsia" w:ascii="Times New Roman" w:hAnsi="Times New Roman" w:eastAsia="方正黑体_GBK" w:cs="Times New Roman"/>
          <w:b w:val="0"/>
          <w:bCs w:val="0"/>
          <w:snapToGrid w:val="0"/>
          <w:color w:val="000000"/>
          <w:kern w:val="2"/>
          <w:sz w:val="28"/>
          <w:szCs w:val="28"/>
        </w:rPr>
      </w:pPr>
      <w:r>
        <w:rPr>
          <w:rFonts w:hint="eastAsia" w:ascii="Times New Roman" w:hAnsi="Times New Roman" w:eastAsia="方正黑体_GBK" w:cs="Times New Roman"/>
          <w:b w:val="0"/>
          <w:bCs w:val="0"/>
          <w:snapToGrid w:val="0"/>
          <w:color w:val="000000"/>
          <w:kern w:val="2"/>
          <w:sz w:val="28"/>
          <w:szCs w:val="28"/>
        </w:rPr>
        <w:br w:type="page"/>
      </w:r>
    </w:p>
    <w:p w14:paraId="7A364238">
      <w:pPr>
        <w:adjustRightInd w:val="0"/>
        <w:snapToGrid w:val="0"/>
        <w:spacing w:line="406" w:lineRule="exact"/>
        <w:jc w:val="center"/>
        <w:outlineLvl w:val="1"/>
        <w:rPr>
          <w:rFonts w:hint="default" w:ascii="Times New Roman" w:hAnsi="Times New Roman" w:eastAsia="方正黑体_GBK" w:cs="Times New Roman"/>
          <w:b w:val="0"/>
          <w:bCs w:val="0"/>
          <w:snapToGrid w:val="0"/>
          <w:color w:val="000000"/>
          <w:kern w:val="2"/>
          <w:sz w:val="28"/>
          <w:szCs w:val="28"/>
        </w:rPr>
      </w:pPr>
      <w:r>
        <w:rPr>
          <w:rFonts w:hint="eastAsia" w:ascii="Times New Roman" w:hAnsi="Times New Roman" w:eastAsia="方正黑体_GBK" w:cs="Times New Roman"/>
          <w:b w:val="0"/>
          <w:bCs w:val="0"/>
          <w:snapToGrid w:val="0"/>
          <w:color w:val="000000"/>
          <w:kern w:val="2"/>
          <w:sz w:val="28"/>
          <w:szCs w:val="28"/>
        </w:rPr>
        <w:t>候选个人合作情况</w:t>
      </w:r>
    </w:p>
    <w:p w14:paraId="05EA1402">
      <w:pPr>
        <w:adjustRightInd w:val="0"/>
        <w:snapToGrid w:val="0"/>
        <w:spacing w:line="406" w:lineRule="exact"/>
        <w:rPr>
          <w:rFonts w:ascii="Times New Roman" w:hAnsi="Times New Roman" w:eastAsia="宋体" w:cs="Times New Roman"/>
          <w:snapToGrid w:val="0"/>
          <w:color w:val="000000"/>
          <w:sz w:val="28"/>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7"/>
      </w:tblGrid>
      <w:tr w14:paraId="5CBE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14:paraId="4A6D81FE">
            <w:pPr>
              <w:adjustRightInd w:val="0"/>
              <w:snapToGrid w:val="0"/>
              <w:spacing w:line="406" w:lineRule="exact"/>
              <w:jc w:val="center"/>
              <w:rPr>
                <w:rFonts w:ascii="Times New Roman" w:hAnsi="Times New Roman" w:eastAsia="方正黑体_GBK" w:cs="Times New Roman"/>
                <w:snapToGrid w:val="0"/>
                <w:color w:val="000000"/>
                <w:sz w:val="28"/>
                <w:szCs w:val="28"/>
              </w:rPr>
            </w:pPr>
            <w:r>
              <w:rPr>
                <w:rFonts w:hint="eastAsia" w:ascii="Times New Roman" w:hAnsi="Times New Roman" w:eastAsia="方正黑体_GBK" w:cs="Times New Roman"/>
                <w:snapToGrid w:val="0"/>
                <w:color w:val="000000"/>
                <w:sz w:val="28"/>
                <w:szCs w:val="28"/>
              </w:rPr>
              <w:t>候选个人合作关系说明</w:t>
            </w:r>
          </w:p>
          <w:p w14:paraId="72A368C1">
            <w:pPr>
              <w:adjustRightInd w:val="0"/>
              <w:snapToGrid w:val="0"/>
              <w:spacing w:line="406" w:lineRule="exact"/>
              <w:rPr>
                <w:rFonts w:ascii="Times New Roman" w:hAnsi="Times New Roman" w:eastAsia="方正黑体_GBK" w:cs="Times New Roman"/>
                <w:snapToGrid w:val="0"/>
                <w:color w:val="000000"/>
                <w:sz w:val="28"/>
                <w:szCs w:val="28"/>
              </w:rPr>
            </w:pPr>
          </w:p>
          <w:p w14:paraId="5E139E3E">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本项目候选个人：覃广胜、黄锋、付强、李治培</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黄荣春</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鄢胜飞、罗华</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罗弘萍</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林智</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苏春伟。2011年以来，相互之间通过共同立项、论文合著、技术服务、成果推广等途径开展各种科技合作。具体说明如下：</w:t>
            </w:r>
          </w:p>
          <w:p w14:paraId="7807EFD1">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本人与黄锋、李治培、黄荣春、鄢胜飞、罗华均来自广西壮族自治区水牛研究所，是成果技术创新的主要研究与推广应用力量。本人主要参与科技创新之一、二、四点的技术研究工作，是科技项目“奶水牛高效养殖综合技术集成研究与示范”，第1完成人，同时参与“奶水牛绿色生态健康养殖模式与集成技术示范”项目（黄锋主持）和“高产奶水牛繁殖新技术熟化研究及集成示范”项目的具体工作，包括水牛活体采卵、胚胎移植、同期发情等技术的研究工作，到养殖示范基地县开展项目技术推广、技术培训等，取得了显著的经济效益和社会效益；合作发布地方标准</w:t>
            </w:r>
            <w:r>
              <w:rPr>
                <w:rFonts w:hint="eastAsia" w:ascii="Times New Roman" w:hAnsi="Times New Roman" w:eastAsia="宋体" w:cs="Times New Roman"/>
                <w:snapToGrid w:val="0"/>
                <w:color w:val="000000"/>
                <w:szCs w:val="21"/>
                <w:lang w:val="en-US" w:eastAsia="zh-CN"/>
              </w:rPr>
              <w:t>2</w:t>
            </w:r>
            <w:r>
              <w:rPr>
                <w:rFonts w:hint="eastAsia" w:ascii="Times New Roman" w:hAnsi="Times New Roman" w:eastAsia="宋体" w:cs="Times New Roman"/>
                <w:snapToGrid w:val="0"/>
                <w:color w:val="000000"/>
                <w:szCs w:val="21"/>
              </w:rPr>
              <w:t>项，</w:t>
            </w:r>
            <w:r>
              <w:rPr>
                <w:rFonts w:hint="eastAsia" w:ascii="Times New Roman" w:hAnsi="Times New Roman" w:eastAsia="宋体" w:cs="Times New Roman"/>
                <w:snapToGrid w:val="0"/>
                <w:color w:val="000000"/>
                <w:szCs w:val="21"/>
                <w:lang w:val="en-US" w:eastAsia="zh-CN"/>
              </w:rPr>
              <w:t>发明专利1项，</w:t>
            </w:r>
            <w:r>
              <w:rPr>
                <w:rFonts w:hint="eastAsia" w:ascii="Times New Roman" w:hAnsi="Times New Roman" w:eastAsia="宋体" w:cs="Times New Roman"/>
                <w:snapToGrid w:val="0"/>
                <w:color w:val="000000"/>
                <w:szCs w:val="21"/>
              </w:rPr>
              <w:t>相关论文</w:t>
            </w:r>
            <w:r>
              <w:rPr>
                <w:rFonts w:hint="eastAsia" w:ascii="Times New Roman" w:hAnsi="Times New Roman" w:eastAsia="宋体" w:cs="Times New Roman"/>
                <w:snapToGrid w:val="0"/>
                <w:color w:val="000000"/>
                <w:szCs w:val="21"/>
                <w:lang w:val="en-US" w:eastAsia="zh-CN"/>
              </w:rPr>
              <w:t>2</w:t>
            </w:r>
            <w:r>
              <w:rPr>
                <w:rFonts w:hint="eastAsia" w:ascii="Times New Roman" w:hAnsi="Times New Roman" w:eastAsia="宋体" w:cs="Times New Roman"/>
                <w:snapToGrid w:val="0"/>
                <w:color w:val="000000"/>
                <w:szCs w:val="21"/>
              </w:rPr>
              <w:t>篇。</w:t>
            </w:r>
          </w:p>
          <w:p w14:paraId="1CD6714C">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w:t>
            </w:r>
            <w:r>
              <w:rPr>
                <w:rFonts w:hint="eastAsia" w:ascii="Times New Roman" w:hAnsi="Times New Roman" w:eastAsia="宋体" w:cs="Times New Roman"/>
                <w:snapToGrid w:val="0"/>
                <w:color w:val="000000"/>
                <w:szCs w:val="21"/>
                <w:lang w:val="en-US" w:eastAsia="zh-CN"/>
              </w:rPr>
              <w:t>黄锋</w:t>
            </w:r>
            <w:r>
              <w:rPr>
                <w:rFonts w:hint="eastAsia" w:ascii="Times New Roman" w:hAnsi="Times New Roman" w:eastAsia="宋体" w:cs="Times New Roman"/>
                <w:snapToGrid w:val="0"/>
                <w:color w:val="000000"/>
                <w:szCs w:val="21"/>
              </w:rPr>
              <w:t>主要参与科技创新之二、三点的技术研究工作，是科技项目“奶水牛绿色生态健康养殖模式与集成技术示范”第1完成人，同时参与“奶水牛高效养殖综合技术集成研究与示范”项目（覃广胜主持）和“高产奶水牛繁殖新技术熟化研究及集成示范”项目的具体实施，指导示范县的奶水牛养殖示范场（小区）建设、高效繁育及</w:t>
            </w:r>
            <w:r>
              <w:rPr>
                <w:rFonts w:hint="eastAsia" w:ascii="Times New Roman" w:hAnsi="Times New Roman" w:eastAsia="宋体" w:cs="Times New Roman"/>
                <w:snapToGrid w:val="0"/>
                <w:color w:val="000000"/>
                <w:szCs w:val="21"/>
                <w:lang w:eastAsia="zh-CN"/>
              </w:rPr>
              <w:t>健康生态养殖</w:t>
            </w:r>
            <w:r>
              <w:rPr>
                <w:rFonts w:hint="eastAsia" w:ascii="Times New Roman" w:hAnsi="Times New Roman" w:eastAsia="宋体" w:cs="Times New Roman"/>
                <w:snapToGrid w:val="0"/>
                <w:color w:val="000000"/>
                <w:szCs w:val="21"/>
              </w:rPr>
              <w:t>，地中海水牛冻精配种和性别鉴定胚胎移植等；合作</w:t>
            </w:r>
            <w:r>
              <w:rPr>
                <w:rFonts w:hint="eastAsia" w:ascii="Times New Roman" w:hAnsi="Times New Roman" w:eastAsia="宋体" w:cs="Times New Roman"/>
                <w:snapToGrid w:val="0"/>
                <w:color w:val="000000"/>
                <w:szCs w:val="21"/>
                <w:lang w:val="en-US" w:eastAsia="zh-CN"/>
              </w:rPr>
              <w:t>发布地方标准1项，</w:t>
            </w:r>
            <w:r>
              <w:rPr>
                <w:rFonts w:hint="eastAsia" w:ascii="Times New Roman" w:hAnsi="Times New Roman" w:eastAsia="宋体" w:cs="Times New Roman"/>
                <w:snapToGrid w:val="0"/>
                <w:color w:val="000000"/>
                <w:szCs w:val="21"/>
              </w:rPr>
              <w:t>发明专利1项。</w:t>
            </w:r>
          </w:p>
          <w:p w14:paraId="16921E44">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李治培主要参与科技创新之二、四点的技术研究和推广应用工作，负责项目实施过程中牛场规范管理制定，场地建设与规划，奶水牛的疾病预防、监测、健康管理、饲养场的生物安全把控和各阶段生产数据记录收集等工作；参与项目奶水牛杂交改良及种牛推广、后期各技术推广和成果转化工作；解决农户饲养问题和开展技术咨询服务；协助天等县建成一个规模最大的奶水牛养殖小区，促进脱贫村奶水牛养殖产业的发展；合作发布地方标准</w:t>
            </w:r>
            <w:r>
              <w:rPr>
                <w:rFonts w:hint="eastAsia" w:ascii="Times New Roman" w:hAnsi="Times New Roman" w:eastAsia="宋体" w:cs="Times New Roman"/>
                <w:snapToGrid w:val="0"/>
                <w:color w:val="000000"/>
                <w:szCs w:val="21"/>
                <w:lang w:val="en-US" w:eastAsia="zh-CN"/>
              </w:rPr>
              <w:t>1</w:t>
            </w:r>
            <w:r>
              <w:rPr>
                <w:rFonts w:hint="eastAsia" w:ascii="Times New Roman" w:hAnsi="Times New Roman" w:eastAsia="宋体" w:cs="Times New Roman"/>
                <w:snapToGrid w:val="0"/>
                <w:color w:val="000000"/>
                <w:szCs w:val="21"/>
              </w:rPr>
              <w:t>项，实用新型专利</w:t>
            </w:r>
            <w:r>
              <w:rPr>
                <w:rFonts w:hint="eastAsia" w:ascii="Times New Roman" w:hAnsi="Times New Roman" w:eastAsia="宋体" w:cs="Times New Roman"/>
                <w:snapToGrid w:val="0"/>
                <w:color w:val="000000"/>
                <w:szCs w:val="21"/>
                <w:lang w:val="en-US" w:eastAsia="zh-CN"/>
              </w:rPr>
              <w:t>1项</w:t>
            </w:r>
            <w:r>
              <w:rPr>
                <w:rFonts w:hint="eastAsia" w:ascii="Times New Roman" w:hAnsi="Times New Roman" w:eastAsia="宋体" w:cs="Times New Roman"/>
                <w:snapToGrid w:val="0"/>
                <w:color w:val="000000"/>
                <w:szCs w:val="21"/>
              </w:rPr>
              <w:t>。</w:t>
            </w:r>
          </w:p>
          <w:p w14:paraId="642C02F6">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成果完成人黄荣春是科技创新之一、二点的主要研究与推广应用重要参与者，主要负责项目中水牛同期发情、活体采卵、胚胎移植技术的研究；协助项目意大利地中海水牛冻精推广应用工作，</w:t>
            </w:r>
            <w:r>
              <w:rPr>
                <w:rFonts w:hint="eastAsia" w:ascii="Times New Roman" w:hAnsi="Times New Roman" w:eastAsia="宋体" w:cs="Times New Roman"/>
                <w:snapToGrid w:val="0"/>
                <w:color w:val="000000"/>
                <w:szCs w:val="21"/>
                <w:lang w:val="en-US" w:eastAsia="zh-CN"/>
              </w:rPr>
              <w:t>协助优化集成水</w:t>
            </w:r>
            <w:r>
              <w:rPr>
                <w:rFonts w:hint="eastAsia" w:ascii="Times New Roman" w:hAnsi="Times New Roman" w:eastAsia="宋体" w:cs="Times New Roman"/>
                <w:snapToGrid w:val="0"/>
                <w:color w:val="000000"/>
                <w:szCs w:val="21"/>
              </w:rPr>
              <w:t>牛的繁殖、饲料、饲养管理、疾病防控和产品加工等技术</w:t>
            </w:r>
            <w:r>
              <w:rPr>
                <w:rFonts w:hint="eastAsia" w:ascii="Times New Roman" w:hAnsi="Times New Roman" w:eastAsia="宋体" w:cs="Times New Roman"/>
                <w:snapToGrid w:val="0"/>
                <w:color w:val="000000"/>
                <w:szCs w:val="21"/>
                <w:lang w:val="en-US" w:eastAsia="zh-CN"/>
              </w:rPr>
              <w:t>并推广</w:t>
            </w:r>
            <w:r>
              <w:rPr>
                <w:rFonts w:hint="eastAsia" w:ascii="Times New Roman" w:hAnsi="Times New Roman" w:eastAsia="宋体" w:cs="Times New Roman"/>
                <w:snapToGrid w:val="0"/>
                <w:color w:val="000000"/>
                <w:szCs w:val="21"/>
              </w:rPr>
              <w:t>应用示范</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参与项目后期</w:t>
            </w:r>
            <w:r>
              <w:rPr>
                <w:rFonts w:hint="eastAsia" w:ascii="Times New Roman" w:hAnsi="Times New Roman" w:eastAsia="宋体" w:cs="Times New Roman"/>
                <w:snapToGrid w:val="0"/>
                <w:color w:val="000000"/>
                <w:szCs w:val="21"/>
                <w:lang w:val="en-US" w:eastAsia="zh-CN"/>
              </w:rPr>
              <w:t>数据的统计分析及</w:t>
            </w:r>
            <w:r>
              <w:rPr>
                <w:rFonts w:hint="eastAsia" w:ascii="Times New Roman" w:hAnsi="Times New Roman" w:eastAsia="宋体" w:cs="Times New Roman"/>
                <w:snapToGrid w:val="0"/>
                <w:color w:val="000000"/>
                <w:szCs w:val="21"/>
              </w:rPr>
              <w:t>成果转化工作，开展水牛人工授精、同期发情技术培训、开展技术咨询服务；参与奶水牛</w:t>
            </w:r>
            <w:r>
              <w:rPr>
                <w:rFonts w:hint="eastAsia" w:ascii="Times New Roman" w:hAnsi="Times New Roman" w:eastAsia="宋体" w:cs="Times New Roman"/>
                <w:snapToGrid w:val="0"/>
                <w:color w:val="000000"/>
                <w:szCs w:val="21"/>
                <w:lang w:eastAsia="zh-CN"/>
              </w:rPr>
              <w:t>健康生态养殖</w:t>
            </w:r>
            <w:r>
              <w:rPr>
                <w:rFonts w:hint="eastAsia" w:ascii="Times New Roman" w:hAnsi="Times New Roman" w:eastAsia="宋体" w:cs="Times New Roman"/>
                <w:snapToGrid w:val="0"/>
                <w:color w:val="000000"/>
                <w:szCs w:val="21"/>
              </w:rPr>
              <w:t>、规模化、标准化小区、规模牛场建设。</w:t>
            </w:r>
          </w:p>
          <w:p w14:paraId="2F786894">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成果完成人鄢胜飞是成果技术推广应用的主要力量，主要参与科技创新之</w:t>
            </w:r>
            <w:r>
              <w:rPr>
                <w:rFonts w:hint="eastAsia" w:ascii="Times New Roman" w:hAnsi="Times New Roman" w:eastAsia="宋体" w:cs="Times New Roman"/>
                <w:snapToGrid w:val="0"/>
                <w:color w:val="000000"/>
                <w:szCs w:val="21"/>
                <w:lang w:val="en-US" w:eastAsia="zh-CN"/>
              </w:rPr>
              <w:t>三</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lang w:val="en-US" w:eastAsia="zh-CN"/>
              </w:rPr>
              <w:t>四</w:t>
            </w:r>
            <w:r>
              <w:rPr>
                <w:rFonts w:hint="eastAsia" w:ascii="Times New Roman" w:hAnsi="Times New Roman" w:eastAsia="宋体" w:cs="Times New Roman"/>
                <w:snapToGrid w:val="0"/>
                <w:color w:val="000000"/>
                <w:szCs w:val="21"/>
              </w:rPr>
              <w:t>点的推广应用工作；负责项目的协调、项目宣传；参与项目的技术培训；协助项目意大利地中海水牛冻精推广应用工作</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lang w:val="en-US" w:eastAsia="zh-CN"/>
              </w:rPr>
              <w:t>负责</w:t>
            </w:r>
            <w:r>
              <w:rPr>
                <w:rFonts w:hint="eastAsia" w:ascii="Times New Roman" w:hAnsi="Times New Roman" w:eastAsia="宋体" w:cs="Times New Roman"/>
                <w:snapToGrid w:val="0"/>
                <w:color w:val="000000"/>
                <w:szCs w:val="21"/>
              </w:rPr>
              <w:t>奶水牛的选种选育、监测、健康管理、饲养场的生物安全把控和各阶段生产数据记录收集；合作发布地方标准1项，发明专利1项。</w:t>
            </w:r>
          </w:p>
          <w:p w14:paraId="02E416D7">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罗华是成果技术创新推广应用重要参与者，主要参与科技创新之一、二点的技术研究和推广应用工作。参与项目的申报，协调、管理、验收和对外技术合作交流服务；参与意大利地中海水牛冻精引进与推广应用等工作</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合作发布地方标准</w:t>
            </w:r>
            <w:r>
              <w:rPr>
                <w:rFonts w:hint="eastAsia" w:ascii="Times New Roman" w:hAnsi="Times New Roman" w:eastAsia="宋体" w:cs="Times New Roman"/>
                <w:snapToGrid w:val="0"/>
                <w:color w:val="000000"/>
                <w:szCs w:val="21"/>
                <w:lang w:val="en-US" w:eastAsia="zh-CN"/>
              </w:rPr>
              <w:t>1</w:t>
            </w:r>
            <w:r>
              <w:rPr>
                <w:rFonts w:hint="eastAsia" w:ascii="Times New Roman" w:hAnsi="Times New Roman" w:eastAsia="宋体" w:cs="Times New Roman"/>
                <w:snapToGrid w:val="0"/>
                <w:color w:val="000000"/>
                <w:szCs w:val="21"/>
              </w:rPr>
              <w:t>项</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是一种用于青贮和有机肥发酵的地面窖专利的设计者、第一发明人，承担青贮窖设计规格、窖纵剖面图、窖功能说明和验证</w:t>
            </w:r>
            <w:r>
              <w:rPr>
                <w:rFonts w:hint="eastAsia" w:ascii="Times New Roman" w:hAnsi="Times New Roman" w:eastAsia="宋体" w:cs="Times New Roman"/>
                <w:snapToGrid w:val="0"/>
                <w:color w:val="000000"/>
                <w:szCs w:val="21"/>
                <w:lang w:val="en-US" w:eastAsia="zh-CN"/>
              </w:rPr>
              <w:t>及其</w:t>
            </w:r>
            <w:r>
              <w:rPr>
                <w:rFonts w:hint="eastAsia" w:ascii="Times New Roman" w:hAnsi="Times New Roman" w:eastAsia="宋体" w:cs="Times New Roman"/>
                <w:snapToGrid w:val="0"/>
                <w:color w:val="000000"/>
                <w:szCs w:val="21"/>
              </w:rPr>
              <w:t>成果推广。</w:t>
            </w:r>
          </w:p>
          <w:p w14:paraId="7DECBBB2">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付强来自广西大学动物科学技术学院，是成果技术创新的主要研究力量，主要参与科技创新之一、四点的技术研究工作，主要研发了环介导恒温扩增（LAMP）法应用于水牛早期胚胎的性别鉴定技术方法；完善了水牛卵母细胞体外成熟—体外授精—胚胎体外培养体系；研究了水牛不同时期胚胎的冷冻保存技术及不同时期冻胚的分割效果；探讨新鲜胚胎的半胚和冷冻胚胎的半胚对胚胎移植效果的影响；合作</w:t>
            </w:r>
            <w:r>
              <w:rPr>
                <w:rFonts w:hint="eastAsia" w:ascii="Times New Roman" w:hAnsi="Times New Roman" w:eastAsia="宋体" w:cs="Times New Roman"/>
                <w:snapToGrid w:val="0"/>
                <w:color w:val="000000"/>
                <w:szCs w:val="21"/>
                <w:lang w:val="en-US" w:eastAsia="zh-CN"/>
              </w:rPr>
              <w:t>发明专利1项，开发软件著作</w:t>
            </w:r>
            <w:r>
              <w:rPr>
                <w:rFonts w:hint="eastAsia" w:ascii="Times New Roman" w:hAnsi="Times New Roman" w:eastAsia="宋体" w:cs="Times New Roman"/>
                <w:snapToGrid w:val="0"/>
                <w:color w:val="000000"/>
                <w:szCs w:val="21"/>
              </w:rPr>
              <w:t>1项、发表相关论文</w:t>
            </w:r>
            <w:r>
              <w:rPr>
                <w:rFonts w:hint="eastAsia" w:ascii="Times New Roman" w:hAnsi="Times New Roman" w:eastAsia="宋体" w:cs="Times New Roman"/>
                <w:snapToGrid w:val="0"/>
                <w:color w:val="000000"/>
                <w:szCs w:val="21"/>
                <w:lang w:val="en-US" w:eastAsia="zh-CN"/>
              </w:rPr>
              <w:t>3</w:t>
            </w:r>
            <w:r>
              <w:rPr>
                <w:rFonts w:hint="eastAsia" w:ascii="Times New Roman" w:hAnsi="Times New Roman" w:eastAsia="宋体" w:cs="Times New Roman"/>
                <w:snapToGrid w:val="0"/>
                <w:color w:val="000000"/>
                <w:szCs w:val="21"/>
              </w:rPr>
              <w:t>篇，培养硕士研究生3名。</w:t>
            </w:r>
          </w:p>
          <w:p w14:paraId="21EE1B2A">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成果完成人罗弘萍来自广西灵山县畜牧技术服务站，是成果技术推广应用的主要力量，主要参与科技创新之二、三点的推广应用工作，在项目组技术支持下，20</w:t>
            </w:r>
            <w:r>
              <w:rPr>
                <w:rFonts w:hint="eastAsia" w:ascii="Times New Roman" w:hAnsi="Times New Roman" w:eastAsia="宋体" w:cs="Times New Roman"/>
                <w:snapToGrid w:val="0"/>
                <w:color w:val="000000"/>
                <w:szCs w:val="21"/>
                <w:lang w:val="en-US" w:eastAsia="zh-CN"/>
              </w:rPr>
              <w:t>12</w:t>
            </w:r>
            <w:r>
              <w:rPr>
                <w:rFonts w:hint="eastAsia" w:ascii="Times New Roman" w:hAnsi="Times New Roman" w:eastAsia="宋体" w:cs="Times New Roman"/>
                <w:snapToGrid w:val="0"/>
                <w:color w:val="000000"/>
                <w:szCs w:val="21"/>
              </w:rPr>
              <w:t>-202</w:t>
            </w:r>
            <w:r>
              <w:rPr>
                <w:rFonts w:hint="eastAsia" w:ascii="Times New Roman" w:hAnsi="Times New Roman" w:eastAsia="宋体" w:cs="Times New Roman"/>
                <w:snapToGrid w:val="0"/>
                <w:color w:val="000000"/>
                <w:szCs w:val="21"/>
                <w:lang w:val="en-US" w:eastAsia="zh-CN"/>
              </w:rPr>
              <w:t>4</w:t>
            </w:r>
            <w:r>
              <w:rPr>
                <w:rFonts w:hint="eastAsia" w:ascii="Times New Roman" w:hAnsi="Times New Roman" w:eastAsia="宋体" w:cs="Times New Roman"/>
                <w:snapToGrid w:val="0"/>
                <w:color w:val="000000"/>
                <w:szCs w:val="21"/>
              </w:rPr>
              <w:t>年在灵山县参与推广奶水牛</w:t>
            </w:r>
            <w:r>
              <w:rPr>
                <w:rFonts w:hint="eastAsia" w:ascii="Times New Roman" w:hAnsi="Times New Roman" w:eastAsia="宋体" w:cs="Times New Roman"/>
                <w:snapToGrid w:val="0"/>
                <w:color w:val="000000"/>
                <w:szCs w:val="21"/>
                <w:lang w:eastAsia="zh-CN"/>
              </w:rPr>
              <w:t>健康生态养殖</w:t>
            </w:r>
            <w:r>
              <w:rPr>
                <w:rFonts w:hint="eastAsia" w:ascii="Times New Roman" w:hAnsi="Times New Roman" w:eastAsia="宋体" w:cs="Times New Roman"/>
                <w:snapToGrid w:val="0"/>
                <w:color w:val="000000"/>
                <w:szCs w:val="21"/>
              </w:rPr>
              <w:t>、水牛饲料配方以及生态养殖等技术的推广和示范应用，辐射带动奶水牛养殖，并对相关技术人员进行培训，提升了生态养殖模式，降低了水牛疫病发生，提高了奶水牛群体产奶量和乳品质量，示范作用。</w:t>
            </w:r>
          </w:p>
          <w:p w14:paraId="4A058472">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林智来自广西北流市畜牧站，是成果技术推广应用的主要力量，主要参与科技创新之三、四点的推广应用工作，参与完善标准化奶水牛养殖小区；推广奶水牛良种的选育和水牛杂交改良技术、奶水牛集约化和规模化饲养技术、优质牧草种植和大宗农副产品饲料化关键技术以及奶水牛日粮配方的筛选；</w:t>
            </w:r>
            <w:r>
              <w:rPr>
                <w:rFonts w:hint="eastAsia" w:ascii="Times New Roman" w:hAnsi="Times New Roman" w:eastAsia="宋体" w:cs="Times New Roman"/>
                <w:snapToGrid w:val="0"/>
                <w:color w:val="000000"/>
                <w:szCs w:val="21"/>
                <w:lang w:val="en-US" w:eastAsia="zh-CN"/>
              </w:rPr>
              <w:t>将</w:t>
            </w:r>
            <w:r>
              <w:rPr>
                <w:rFonts w:hint="eastAsia" w:ascii="Times New Roman" w:hAnsi="Times New Roman" w:eastAsia="宋体" w:cs="Times New Roman"/>
                <w:snapToGrid w:val="0"/>
                <w:color w:val="000000"/>
                <w:szCs w:val="21"/>
              </w:rPr>
              <w:t>牛的繁殖、饲料、饲养管理、疾病防控和产品加工等技术进行组装集成应用示范。组织开展先进实用奶水牛养殖综合技术的培训工作，提高奶水牛养殖和奶产品加工技术水平。</w:t>
            </w:r>
          </w:p>
          <w:p w14:paraId="55477503">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完成人苏春伟来自灵山县科学技术开发中心，是成果技术推广应用的主要力量。主要参与科技创新之一、二点的推广应用工作，主要负责项目的协调、项目宣传；参与项目的技术培训；协助项目意大利地中海水牛冻精推广应用工作，参与奶水牛</w:t>
            </w:r>
            <w:r>
              <w:rPr>
                <w:rFonts w:hint="eastAsia" w:ascii="Times New Roman" w:hAnsi="Times New Roman" w:eastAsia="宋体" w:cs="Times New Roman"/>
                <w:snapToGrid w:val="0"/>
                <w:color w:val="000000"/>
                <w:szCs w:val="21"/>
                <w:lang w:eastAsia="zh-CN"/>
              </w:rPr>
              <w:t>健康生态养殖</w:t>
            </w:r>
            <w:r>
              <w:rPr>
                <w:rFonts w:hint="eastAsia" w:ascii="Times New Roman" w:hAnsi="Times New Roman" w:eastAsia="宋体" w:cs="Times New Roman"/>
                <w:snapToGrid w:val="0"/>
                <w:color w:val="000000"/>
                <w:szCs w:val="21"/>
              </w:rPr>
              <w:t>、规模化、标准化小区、规模牛场建设的宣传发动。</w:t>
            </w:r>
          </w:p>
          <w:p w14:paraId="5A0E208B">
            <w:pPr>
              <w:keepNext w:val="0"/>
              <w:keepLines w:val="0"/>
              <w:pageBreakBefore w:val="0"/>
              <w:widowControl w:val="0"/>
              <w:kinsoku/>
              <w:wordWrap/>
              <w:overflowPunct/>
              <w:topLinePunct w:val="0"/>
              <w:autoSpaceDE/>
              <w:autoSpaceDN/>
              <w:bidi w:val="0"/>
              <w:adjustRightInd w:val="0"/>
              <w:snapToGrid w:val="0"/>
              <w:spacing w:line="406" w:lineRule="exact"/>
              <w:ind w:firstLine="420" w:firstLineChars="200"/>
              <w:textAlignment w:val="auto"/>
              <w:rPr>
                <w:rFonts w:hint="eastAsia"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rPr>
              <w:t>成果由本单位联合广西大学</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灵山县畜牧技术服务站</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广西百菲乳业股份有限公司、皇氏集团股份有限公司</w:t>
            </w:r>
            <w:r>
              <w:rPr>
                <w:rFonts w:hint="eastAsia" w:ascii="Times New Roman" w:hAnsi="Times New Roman" w:eastAsia="宋体" w:cs="Times New Roman"/>
                <w:snapToGrid w:val="0"/>
                <w:color w:val="000000"/>
                <w:szCs w:val="21"/>
                <w:lang w:eastAsia="zh-CN"/>
              </w:rPr>
              <w:t>、</w:t>
            </w:r>
            <w:r>
              <w:rPr>
                <w:rFonts w:hint="eastAsia" w:ascii="Times New Roman" w:hAnsi="Times New Roman" w:eastAsia="宋体" w:cs="Times New Roman"/>
                <w:snapToGrid w:val="0"/>
                <w:color w:val="000000"/>
                <w:szCs w:val="21"/>
              </w:rPr>
              <w:t>北流市畜牧站共同实施完成，开展技术集成和成果推广与应用。</w:t>
            </w:r>
          </w:p>
          <w:p w14:paraId="60A5648F">
            <w:pPr>
              <w:adjustRightInd w:val="0"/>
              <w:snapToGrid w:val="0"/>
              <w:spacing w:line="406" w:lineRule="exact"/>
              <w:ind w:firstLine="560" w:firstLineChars="200"/>
              <w:rPr>
                <w:rFonts w:ascii="Times New Roman" w:hAnsi="Times New Roman" w:eastAsia="宋体" w:cs="Times New Roman"/>
                <w:snapToGrid w:val="0"/>
                <w:color w:val="000000"/>
                <w:sz w:val="28"/>
                <w:szCs w:val="28"/>
              </w:rPr>
            </w:pPr>
          </w:p>
          <w:p w14:paraId="4D6355B4">
            <w:pPr>
              <w:adjustRightInd w:val="0"/>
              <w:snapToGrid w:val="0"/>
              <w:spacing w:line="406" w:lineRule="exact"/>
              <w:ind w:firstLine="560" w:firstLineChars="200"/>
              <w:rPr>
                <w:rFonts w:ascii="Times New Roman" w:hAnsi="Times New Roman" w:eastAsia="宋体" w:cs="Times New Roman"/>
                <w:snapToGrid w:val="0"/>
                <w:color w:val="000000"/>
                <w:sz w:val="28"/>
                <w:szCs w:val="28"/>
              </w:rPr>
            </w:pPr>
          </w:p>
          <w:p w14:paraId="78352A3D">
            <w:pPr>
              <w:adjustRightInd w:val="0"/>
              <w:snapToGrid w:val="0"/>
              <w:spacing w:line="406" w:lineRule="exact"/>
              <w:ind w:firstLine="560" w:firstLineChars="200"/>
              <w:rPr>
                <w:rFonts w:ascii="Times New Roman" w:hAnsi="Times New Roman" w:eastAsia="宋体" w:cs="Times New Roman"/>
                <w:snapToGrid w:val="0"/>
                <w:color w:val="000000"/>
                <w:sz w:val="28"/>
                <w:szCs w:val="28"/>
              </w:rPr>
            </w:pPr>
          </w:p>
          <w:p w14:paraId="1F36C1C3">
            <w:pPr>
              <w:adjustRightInd w:val="0"/>
              <w:snapToGrid w:val="0"/>
              <w:spacing w:line="406" w:lineRule="exact"/>
              <w:ind w:firstLine="560" w:firstLineChars="200"/>
              <w:rPr>
                <w:rFonts w:ascii="Times New Roman" w:hAnsi="Times New Roman" w:eastAsia="宋体" w:cs="Times New Roman"/>
                <w:snapToGrid w:val="0"/>
                <w:color w:val="000000"/>
                <w:sz w:val="28"/>
                <w:szCs w:val="28"/>
              </w:rPr>
            </w:pPr>
            <w:r>
              <w:rPr>
                <w:rFonts w:ascii="Times New Roman" w:hAnsi="Times New Roman" w:eastAsia="宋体" w:cs="Times New Roman"/>
                <w:snapToGrid w:val="0"/>
                <w:color w:val="000000"/>
                <w:sz w:val="28"/>
                <w:szCs w:val="28"/>
              </w:rPr>
              <w:t>以上合作关系情况详见附表。</w:t>
            </w:r>
          </w:p>
          <w:p w14:paraId="47BD9FD8">
            <w:pPr>
              <w:adjustRightInd w:val="0"/>
              <w:snapToGrid w:val="0"/>
              <w:spacing w:line="406" w:lineRule="exact"/>
              <w:rPr>
                <w:rFonts w:ascii="Times New Roman" w:hAnsi="Times New Roman" w:eastAsia="方正黑体_GBK" w:cs="Times New Roman"/>
                <w:snapToGrid w:val="0"/>
                <w:color w:val="000000"/>
                <w:sz w:val="28"/>
                <w:szCs w:val="28"/>
              </w:rPr>
            </w:pPr>
          </w:p>
        </w:tc>
      </w:tr>
    </w:tbl>
    <w:p w14:paraId="1937392C">
      <w:pPr>
        <w:adjustRightInd w:val="0"/>
        <w:snapToGrid w:val="0"/>
        <w:spacing w:line="406" w:lineRule="exact"/>
        <w:rPr>
          <w:rFonts w:ascii="Times New Roman" w:hAnsi="Times New Roman" w:eastAsia="宋体" w:cs="Times New Roman"/>
          <w:snapToGrid w:val="0"/>
          <w:color w:val="000000"/>
          <w:sz w:val="28"/>
          <w:szCs w:val="28"/>
        </w:rPr>
      </w:pPr>
    </w:p>
    <w:p w14:paraId="6AE911C5">
      <w:pPr>
        <w:rPr>
          <w:rFonts w:hint="eastAsia" w:ascii="Times New Roman" w:hAnsi="Times New Roman" w:eastAsia="方正黑体_GBK" w:cs="Times New Roman"/>
          <w:snapToGrid w:val="0"/>
          <w:color w:val="000000"/>
          <w:sz w:val="28"/>
          <w:szCs w:val="28"/>
        </w:rPr>
      </w:pPr>
      <w:r>
        <w:rPr>
          <w:rFonts w:hint="eastAsia" w:ascii="Times New Roman" w:hAnsi="Times New Roman" w:eastAsia="方正黑体_GBK" w:cs="Times New Roman"/>
          <w:snapToGrid w:val="0"/>
          <w:color w:val="000000"/>
          <w:sz w:val="28"/>
          <w:szCs w:val="28"/>
        </w:rPr>
        <w:br w:type="page"/>
      </w:r>
    </w:p>
    <w:p w14:paraId="41F9EBEC">
      <w:pPr>
        <w:adjustRightInd w:val="0"/>
        <w:snapToGrid w:val="0"/>
        <w:spacing w:line="406" w:lineRule="exact"/>
        <w:jc w:val="center"/>
        <w:rPr>
          <w:rFonts w:ascii="Times New Roman" w:hAnsi="Times New Roman" w:eastAsia="宋体" w:cs="Times New Roman"/>
          <w:b/>
          <w:bCs/>
          <w:snapToGrid w:val="0"/>
          <w:color w:val="000000"/>
          <w:sz w:val="28"/>
          <w:szCs w:val="28"/>
        </w:rPr>
      </w:pPr>
      <w:r>
        <w:rPr>
          <w:rFonts w:hint="eastAsia" w:ascii="Times New Roman" w:hAnsi="Times New Roman" w:eastAsia="方正黑体_GBK" w:cs="Times New Roman"/>
          <w:snapToGrid w:val="0"/>
          <w:color w:val="000000"/>
          <w:sz w:val="28"/>
          <w:szCs w:val="28"/>
        </w:rPr>
        <w:t>附表：候选个人合作情况汇总表</w:t>
      </w:r>
    </w:p>
    <w:tbl>
      <w:tblPr>
        <w:tblStyle w:val="4"/>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14:paraId="50C66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6FD0A299">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14:paraId="340EA5FD">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14:paraId="2DF33830">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14:paraId="7A266A2F">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14:paraId="3716FF40">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14:paraId="5AF8BEC3">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14:paraId="56AE56F2">
            <w:pPr>
              <w:adjustRightInd w:val="0"/>
              <w:snapToGrid w:val="0"/>
              <w:spacing w:line="320" w:lineRule="exact"/>
              <w:jc w:val="center"/>
              <w:rPr>
                <w:rFonts w:ascii="Times New Roman" w:hAnsi="Times New Roman" w:eastAsia="方正黑体_GBK" w:cs="Times New Roman"/>
                <w:snapToGrid w:val="0"/>
                <w:color w:val="000000"/>
                <w:szCs w:val="21"/>
              </w:rPr>
            </w:pPr>
            <w:r>
              <w:rPr>
                <w:rFonts w:ascii="Times New Roman" w:hAnsi="Times New Roman" w:eastAsia="方正黑体_GBK" w:cs="Times New Roman"/>
                <w:snapToGrid w:val="0"/>
                <w:color w:val="000000"/>
                <w:szCs w:val="21"/>
              </w:rPr>
              <w:t>备注</w:t>
            </w:r>
          </w:p>
        </w:tc>
      </w:tr>
      <w:tr w14:paraId="5BEDF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7EA048CA">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1</w:t>
            </w:r>
          </w:p>
        </w:tc>
        <w:tc>
          <w:tcPr>
            <w:tcW w:w="1567" w:type="dxa"/>
            <w:tcBorders>
              <w:top w:val="single" w:color="000000" w:sz="4" w:space="0"/>
              <w:left w:val="nil"/>
              <w:bottom w:val="single" w:color="000000" w:sz="4" w:space="0"/>
              <w:right w:val="single" w:color="000000" w:sz="4" w:space="0"/>
            </w:tcBorders>
            <w:vAlign w:val="center"/>
          </w:tcPr>
          <w:p w14:paraId="26D2C7B9">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共同立项</w:t>
            </w:r>
          </w:p>
        </w:tc>
        <w:tc>
          <w:tcPr>
            <w:tcW w:w="1134" w:type="dxa"/>
            <w:tcBorders>
              <w:top w:val="single" w:color="000000" w:sz="4" w:space="0"/>
              <w:left w:val="nil"/>
              <w:bottom w:val="single" w:color="000000" w:sz="4" w:space="0"/>
              <w:right w:val="single" w:color="000000" w:sz="4" w:space="0"/>
            </w:tcBorders>
            <w:vAlign w:val="center"/>
          </w:tcPr>
          <w:p w14:paraId="676B73D8">
            <w:pPr>
              <w:adjustRightInd w:val="0"/>
              <w:snapToGrid w:val="0"/>
              <w:spacing w:beforeAutospacing="0" w:afterAutospacing="0" w:line="320" w:lineRule="exact"/>
              <w:jc w:val="left"/>
              <w:rPr>
                <w:rFonts w:hint="default" w:ascii="Times New Roman" w:hAnsi="Times New Roman" w:eastAsia="宋体" w:cs="Times New Roman"/>
                <w:snapToGrid w:val="0"/>
                <w:color w:val="000000"/>
                <w:szCs w:val="21"/>
                <w:lang w:val="en-US"/>
              </w:rPr>
            </w:pPr>
            <w:r>
              <w:rPr>
                <w:rFonts w:hint="eastAsia" w:ascii="Times New Roman" w:hAnsi="Times New Roman" w:eastAsia="宋体" w:cs="Times New Roman"/>
                <w:snapToGrid w:val="0"/>
                <w:color w:val="000000"/>
                <w:sz w:val="21"/>
                <w:szCs w:val="21"/>
                <w:lang w:val="en-US" w:eastAsia="zh-CN"/>
              </w:rPr>
              <w:t>覃广胜、黄  锋、苏春伟、林  智</w:t>
            </w:r>
          </w:p>
        </w:tc>
        <w:tc>
          <w:tcPr>
            <w:tcW w:w="1559" w:type="dxa"/>
            <w:tcBorders>
              <w:top w:val="single" w:color="000000" w:sz="4" w:space="0"/>
              <w:left w:val="nil"/>
              <w:bottom w:val="single" w:color="000000" w:sz="4" w:space="0"/>
              <w:right w:val="single" w:color="000000" w:sz="4" w:space="0"/>
            </w:tcBorders>
            <w:vAlign w:val="center"/>
          </w:tcPr>
          <w:p w14:paraId="7EFE41AD">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2011-2013</w:t>
            </w:r>
          </w:p>
        </w:tc>
        <w:tc>
          <w:tcPr>
            <w:tcW w:w="1984" w:type="dxa"/>
            <w:tcBorders>
              <w:top w:val="single" w:color="000000" w:sz="4" w:space="0"/>
              <w:left w:val="nil"/>
              <w:bottom w:val="single" w:color="000000" w:sz="4" w:space="0"/>
              <w:right w:val="single" w:color="000000" w:sz="4" w:space="0"/>
            </w:tcBorders>
            <w:vAlign w:val="center"/>
          </w:tcPr>
          <w:p w14:paraId="686C76E7">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奶水牛高效养殖综合技术集成研究与示范</w:t>
            </w:r>
          </w:p>
        </w:tc>
        <w:tc>
          <w:tcPr>
            <w:tcW w:w="1134" w:type="dxa"/>
            <w:tcBorders>
              <w:top w:val="single" w:color="000000" w:sz="4" w:space="0"/>
              <w:left w:val="nil"/>
              <w:bottom w:val="single" w:color="000000" w:sz="4" w:space="0"/>
              <w:right w:val="single" w:color="000000" w:sz="4" w:space="0"/>
            </w:tcBorders>
            <w:vAlign w:val="center"/>
          </w:tcPr>
          <w:p w14:paraId="66299973">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验收证书（5-1）</w:t>
            </w:r>
          </w:p>
        </w:tc>
        <w:tc>
          <w:tcPr>
            <w:tcW w:w="1134" w:type="dxa"/>
            <w:tcBorders>
              <w:top w:val="single" w:color="000000" w:sz="4" w:space="0"/>
              <w:left w:val="nil"/>
              <w:bottom w:val="single" w:color="000000" w:sz="4" w:space="0"/>
              <w:right w:val="single" w:color="000000" w:sz="4" w:space="0"/>
            </w:tcBorders>
            <w:vAlign w:val="center"/>
          </w:tcPr>
          <w:p w14:paraId="40B3AEBE">
            <w:pPr>
              <w:adjustRightInd w:val="0"/>
              <w:snapToGrid w:val="0"/>
              <w:spacing w:line="320" w:lineRule="exact"/>
              <w:rPr>
                <w:rFonts w:ascii="Times New Roman" w:hAnsi="Times New Roman" w:eastAsia="宋体" w:cs="Times New Roman"/>
                <w:snapToGrid w:val="0"/>
                <w:color w:val="000000"/>
                <w:szCs w:val="21"/>
              </w:rPr>
            </w:pPr>
          </w:p>
        </w:tc>
      </w:tr>
      <w:tr w14:paraId="687A8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43233AF3">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2</w:t>
            </w:r>
          </w:p>
        </w:tc>
        <w:tc>
          <w:tcPr>
            <w:tcW w:w="1567" w:type="dxa"/>
            <w:tcBorders>
              <w:top w:val="single" w:color="000000" w:sz="4" w:space="0"/>
              <w:left w:val="nil"/>
              <w:bottom w:val="single" w:color="000000" w:sz="4" w:space="0"/>
              <w:right w:val="single" w:color="000000" w:sz="4" w:space="0"/>
            </w:tcBorders>
            <w:vAlign w:val="center"/>
          </w:tcPr>
          <w:p w14:paraId="5F3F9F8D">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共同立项</w:t>
            </w:r>
          </w:p>
        </w:tc>
        <w:tc>
          <w:tcPr>
            <w:tcW w:w="1134" w:type="dxa"/>
            <w:tcBorders>
              <w:top w:val="single" w:color="000000" w:sz="4" w:space="0"/>
              <w:left w:val="nil"/>
              <w:bottom w:val="single" w:color="000000" w:sz="4" w:space="0"/>
              <w:right w:val="single" w:color="000000" w:sz="4" w:space="0"/>
            </w:tcBorders>
            <w:vAlign w:val="center"/>
          </w:tcPr>
          <w:p w14:paraId="23D613A9">
            <w:pPr>
              <w:adjustRightInd w:val="0"/>
              <w:snapToGrid w:val="0"/>
              <w:spacing w:beforeAutospacing="0" w:afterAutospacing="0" w:line="320" w:lineRule="exact"/>
              <w:jc w:val="left"/>
              <w:rPr>
                <w:rFonts w:hint="eastAsia" w:ascii="Times New Roman" w:hAnsi="Times New Roman" w:eastAsia="宋体" w:cs="Times New Roman"/>
                <w:snapToGrid w:val="0"/>
                <w:color w:val="000000"/>
                <w:sz w:val="21"/>
                <w:szCs w:val="21"/>
                <w:lang w:val="en-US" w:eastAsia="zh-CN"/>
              </w:rPr>
            </w:pPr>
            <w:r>
              <w:rPr>
                <w:rFonts w:hint="eastAsia" w:ascii="Times New Roman" w:hAnsi="Times New Roman" w:eastAsia="宋体" w:cs="Times New Roman"/>
                <w:snapToGrid w:val="0"/>
                <w:color w:val="000000"/>
                <w:sz w:val="21"/>
                <w:szCs w:val="21"/>
                <w:lang w:val="en-US" w:eastAsia="zh-CN"/>
              </w:rPr>
              <w:t>黄  锋、覃广胜、苏春伟、</w:t>
            </w:r>
          </w:p>
          <w:p w14:paraId="057A9279">
            <w:pPr>
              <w:pStyle w:val="2"/>
              <w:jc w:val="both"/>
            </w:pPr>
            <w:r>
              <w:rPr>
                <w:rFonts w:hint="eastAsia" w:ascii="Times New Roman" w:hAnsi="Times New Roman" w:eastAsia="宋体" w:cs="Times New Roman"/>
                <w:snapToGrid w:val="0"/>
                <w:color w:val="000000"/>
                <w:sz w:val="21"/>
                <w:szCs w:val="21"/>
                <w:lang w:val="en-US" w:eastAsia="zh-CN"/>
              </w:rPr>
              <w:t>林  智</w:t>
            </w:r>
          </w:p>
        </w:tc>
        <w:tc>
          <w:tcPr>
            <w:tcW w:w="1559" w:type="dxa"/>
            <w:tcBorders>
              <w:top w:val="single" w:color="000000" w:sz="4" w:space="0"/>
              <w:left w:val="nil"/>
              <w:bottom w:val="single" w:color="000000" w:sz="4" w:space="0"/>
              <w:right w:val="single" w:color="000000" w:sz="4" w:space="0"/>
            </w:tcBorders>
            <w:vAlign w:val="center"/>
          </w:tcPr>
          <w:p w14:paraId="2B345AAA">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2014-2016</w:t>
            </w:r>
          </w:p>
        </w:tc>
        <w:tc>
          <w:tcPr>
            <w:tcW w:w="1984" w:type="dxa"/>
            <w:tcBorders>
              <w:top w:val="single" w:color="000000" w:sz="4" w:space="0"/>
              <w:left w:val="nil"/>
              <w:bottom w:val="single" w:color="000000" w:sz="4" w:space="0"/>
              <w:right w:val="single" w:color="000000" w:sz="4" w:space="0"/>
            </w:tcBorders>
            <w:vAlign w:val="center"/>
          </w:tcPr>
          <w:p w14:paraId="1AA2F555">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奶水牛绿色生态健康养殖模式与集成技术示范</w:t>
            </w:r>
          </w:p>
        </w:tc>
        <w:tc>
          <w:tcPr>
            <w:tcW w:w="1134" w:type="dxa"/>
            <w:tcBorders>
              <w:top w:val="single" w:color="000000" w:sz="4" w:space="0"/>
              <w:left w:val="nil"/>
              <w:bottom w:val="single" w:color="000000" w:sz="4" w:space="0"/>
              <w:right w:val="single" w:color="000000" w:sz="4" w:space="0"/>
            </w:tcBorders>
            <w:vAlign w:val="center"/>
          </w:tcPr>
          <w:p w14:paraId="255677A8">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验收证书（5-2）</w:t>
            </w:r>
          </w:p>
        </w:tc>
        <w:tc>
          <w:tcPr>
            <w:tcW w:w="1134" w:type="dxa"/>
            <w:tcBorders>
              <w:top w:val="single" w:color="000000" w:sz="4" w:space="0"/>
              <w:left w:val="nil"/>
              <w:bottom w:val="single" w:color="000000" w:sz="4" w:space="0"/>
              <w:right w:val="single" w:color="000000" w:sz="4" w:space="0"/>
            </w:tcBorders>
            <w:vAlign w:val="center"/>
          </w:tcPr>
          <w:p w14:paraId="0F417310">
            <w:pPr>
              <w:adjustRightInd w:val="0"/>
              <w:snapToGrid w:val="0"/>
              <w:spacing w:line="320" w:lineRule="exact"/>
              <w:rPr>
                <w:rFonts w:ascii="Times New Roman" w:hAnsi="Times New Roman" w:eastAsia="宋体" w:cs="Times New Roman"/>
                <w:snapToGrid w:val="0"/>
                <w:color w:val="000000"/>
                <w:szCs w:val="21"/>
              </w:rPr>
            </w:pPr>
          </w:p>
        </w:tc>
      </w:tr>
      <w:tr w14:paraId="07B9C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19EA0349">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3</w:t>
            </w:r>
          </w:p>
        </w:tc>
        <w:tc>
          <w:tcPr>
            <w:tcW w:w="1567" w:type="dxa"/>
            <w:tcBorders>
              <w:top w:val="single" w:color="000000" w:sz="4" w:space="0"/>
              <w:left w:val="nil"/>
              <w:bottom w:val="single" w:color="000000" w:sz="4" w:space="0"/>
              <w:right w:val="single" w:color="000000" w:sz="4" w:space="0"/>
            </w:tcBorders>
            <w:vAlign w:val="center"/>
          </w:tcPr>
          <w:p w14:paraId="255A225E">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共同立项</w:t>
            </w:r>
          </w:p>
        </w:tc>
        <w:tc>
          <w:tcPr>
            <w:tcW w:w="1134" w:type="dxa"/>
            <w:tcBorders>
              <w:top w:val="single" w:color="000000" w:sz="4" w:space="0"/>
              <w:left w:val="nil"/>
              <w:bottom w:val="single" w:color="000000" w:sz="4" w:space="0"/>
              <w:right w:val="single" w:color="000000" w:sz="4" w:space="0"/>
            </w:tcBorders>
            <w:vAlign w:val="center"/>
          </w:tcPr>
          <w:p w14:paraId="58CFE955">
            <w:pPr>
              <w:adjustRightInd w:val="0"/>
              <w:snapToGrid w:val="0"/>
              <w:spacing w:beforeAutospacing="0" w:afterAutospacing="0" w:line="320" w:lineRule="exact"/>
              <w:jc w:val="left"/>
              <w:rPr>
                <w:rFonts w:hint="eastAsia" w:ascii="Times New Roman" w:hAnsi="Times New Roman" w:eastAsia="宋体" w:cs="Times New Roman"/>
                <w:snapToGrid w:val="0"/>
                <w:color w:val="000000"/>
                <w:sz w:val="21"/>
                <w:szCs w:val="21"/>
                <w:lang w:val="en-US" w:eastAsia="zh-CN"/>
              </w:rPr>
            </w:pPr>
            <w:r>
              <w:rPr>
                <w:rFonts w:hint="eastAsia" w:ascii="Times New Roman" w:hAnsi="Times New Roman" w:eastAsia="宋体" w:cs="Times New Roman"/>
                <w:snapToGrid w:val="0"/>
                <w:color w:val="000000"/>
                <w:sz w:val="21"/>
                <w:szCs w:val="21"/>
                <w:lang w:val="en-US" w:eastAsia="zh-CN"/>
              </w:rPr>
              <w:t>覃广胜、黄  锋、</w:t>
            </w:r>
          </w:p>
          <w:p w14:paraId="10DEF046">
            <w:pPr>
              <w:adjustRightInd w:val="0"/>
              <w:snapToGrid w:val="0"/>
              <w:spacing w:beforeAutospacing="0" w:afterAutospacing="0" w:line="320" w:lineRule="exact"/>
              <w:jc w:val="left"/>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李治培</w:t>
            </w:r>
          </w:p>
        </w:tc>
        <w:tc>
          <w:tcPr>
            <w:tcW w:w="1559" w:type="dxa"/>
            <w:tcBorders>
              <w:top w:val="single" w:color="000000" w:sz="4" w:space="0"/>
              <w:left w:val="nil"/>
              <w:bottom w:val="single" w:color="000000" w:sz="4" w:space="0"/>
              <w:right w:val="single" w:color="000000" w:sz="4" w:space="0"/>
            </w:tcBorders>
            <w:vAlign w:val="center"/>
          </w:tcPr>
          <w:p w14:paraId="59BD064E">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2015-2017</w:t>
            </w:r>
          </w:p>
        </w:tc>
        <w:tc>
          <w:tcPr>
            <w:tcW w:w="1984" w:type="dxa"/>
            <w:tcBorders>
              <w:top w:val="single" w:color="000000" w:sz="4" w:space="0"/>
              <w:left w:val="nil"/>
              <w:bottom w:val="single" w:color="000000" w:sz="4" w:space="0"/>
              <w:right w:val="single" w:color="000000" w:sz="4" w:space="0"/>
            </w:tcBorders>
            <w:vAlign w:val="center"/>
          </w:tcPr>
          <w:p w14:paraId="1B1C8988">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高产奶水牛繁殖新技术熟化研究及集成示范</w:t>
            </w:r>
          </w:p>
        </w:tc>
        <w:tc>
          <w:tcPr>
            <w:tcW w:w="1134" w:type="dxa"/>
            <w:tcBorders>
              <w:top w:val="single" w:color="000000" w:sz="4" w:space="0"/>
              <w:left w:val="nil"/>
              <w:bottom w:val="single" w:color="000000" w:sz="4" w:space="0"/>
              <w:right w:val="single" w:color="000000" w:sz="4" w:space="0"/>
            </w:tcBorders>
            <w:vAlign w:val="center"/>
          </w:tcPr>
          <w:p w14:paraId="63FF5AF9">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验收证书（5-3）</w:t>
            </w:r>
          </w:p>
        </w:tc>
        <w:tc>
          <w:tcPr>
            <w:tcW w:w="1134" w:type="dxa"/>
            <w:tcBorders>
              <w:top w:val="single" w:color="000000" w:sz="4" w:space="0"/>
              <w:left w:val="nil"/>
              <w:bottom w:val="single" w:color="000000" w:sz="4" w:space="0"/>
              <w:right w:val="single" w:color="000000" w:sz="4" w:space="0"/>
            </w:tcBorders>
            <w:vAlign w:val="center"/>
          </w:tcPr>
          <w:p w14:paraId="3DCCDA7C">
            <w:pPr>
              <w:adjustRightInd w:val="0"/>
              <w:snapToGrid w:val="0"/>
              <w:spacing w:line="320" w:lineRule="exact"/>
              <w:rPr>
                <w:rFonts w:ascii="Times New Roman" w:hAnsi="Times New Roman" w:eastAsia="宋体" w:cs="Times New Roman"/>
                <w:snapToGrid w:val="0"/>
                <w:color w:val="000000"/>
                <w:szCs w:val="21"/>
              </w:rPr>
            </w:pPr>
          </w:p>
        </w:tc>
      </w:tr>
      <w:tr w14:paraId="64284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55396467">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lang w:val="en-US" w:eastAsia="zh-CN"/>
              </w:rPr>
              <w:t>4</w:t>
            </w:r>
          </w:p>
        </w:tc>
        <w:tc>
          <w:tcPr>
            <w:tcW w:w="1567" w:type="dxa"/>
            <w:tcBorders>
              <w:top w:val="single" w:color="000000" w:sz="4" w:space="0"/>
              <w:left w:val="nil"/>
              <w:bottom w:val="single" w:color="000000" w:sz="4" w:space="0"/>
              <w:right w:val="single" w:color="000000" w:sz="4" w:space="0"/>
            </w:tcBorders>
            <w:vAlign w:val="center"/>
          </w:tcPr>
          <w:p w14:paraId="17DA48A1">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共同知识产权</w:t>
            </w:r>
          </w:p>
        </w:tc>
        <w:tc>
          <w:tcPr>
            <w:tcW w:w="1134" w:type="dxa"/>
            <w:tcBorders>
              <w:top w:val="single" w:color="000000" w:sz="4" w:space="0"/>
              <w:left w:val="nil"/>
              <w:bottom w:val="single" w:color="000000" w:sz="4" w:space="0"/>
              <w:right w:val="single" w:color="000000" w:sz="4" w:space="0"/>
            </w:tcBorders>
            <w:vAlign w:val="center"/>
          </w:tcPr>
          <w:p w14:paraId="54C69BB3">
            <w:pPr>
              <w:adjustRightInd w:val="0"/>
              <w:snapToGrid w:val="0"/>
              <w:spacing w:beforeAutospacing="0" w:afterAutospacing="0" w:line="320" w:lineRule="exact"/>
              <w:jc w:val="left"/>
              <w:rPr>
                <w:rFonts w:hint="eastAsia" w:ascii="Times New Roman" w:hAnsi="Times New Roman" w:eastAsia="宋体" w:cs="Times New Roman"/>
                <w:snapToGrid w:val="0"/>
                <w:color w:val="000000"/>
                <w:sz w:val="21"/>
                <w:szCs w:val="21"/>
                <w:lang w:val="en-US" w:eastAsia="zh-CN"/>
              </w:rPr>
            </w:pPr>
            <w:r>
              <w:rPr>
                <w:rFonts w:hint="eastAsia" w:ascii="Times New Roman" w:hAnsi="Times New Roman" w:eastAsia="宋体" w:cs="Times New Roman"/>
                <w:snapToGrid w:val="0"/>
                <w:color w:val="000000"/>
                <w:sz w:val="21"/>
                <w:szCs w:val="21"/>
                <w:lang w:val="en-US" w:eastAsia="zh-CN"/>
              </w:rPr>
              <w:t>覃广胜、黄  锋、</w:t>
            </w:r>
          </w:p>
          <w:p w14:paraId="6E82CF5D">
            <w:pPr>
              <w:adjustRightInd w:val="0"/>
              <w:snapToGrid w:val="0"/>
              <w:spacing w:beforeAutospacing="0" w:afterAutospacing="0" w:line="320" w:lineRule="exact"/>
              <w:jc w:val="left"/>
              <w:rPr>
                <w:rFonts w:hint="eastAsia" w:ascii="Times New Roman" w:hAnsi="Times New Roman" w:eastAsia="宋体" w:cs="Times New Roman"/>
                <w:snapToGrid w:val="0"/>
                <w:color w:val="000000"/>
                <w:sz w:val="21"/>
                <w:szCs w:val="21"/>
                <w:lang w:val="en-US" w:eastAsia="zh-CN"/>
              </w:rPr>
            </w:pPr>
            <w:r>
              <w:rPr>
                <w:rFonts w:hint="eastAsia" w:ascii="Times New Roman" w:hAnsi="Times New Roman" w:eastAsia="宋体" w:cs="Times New Roman"/>
                <w:snapToGrid w:val="0"/>
                <w:color w:val="000000"/>
                <w:sz w:val="21"/>
                <w:szCs w:val="21"/>
                <w:lang w:val="en-US" w:eastAsia="zh-CN"/>
              </w:rPr>
              <w:t>李治培、</w:t>
            </w:r>
          </w:p>
          <w:p w14:paraId="7DD51056">
            <w:pPr>
              <w:adjustRightInd w:val="0"/>
              <w:snapToGrid w:val="0"/>
              <w:spacing w:beforeAutospacing="0" w:afterAutospacing="0" w:line="320" w:lineRule="exact"/>
              <w:jc w:val="left"/>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罗  华</w:t>
            </w:r>
          </w:p>
        </w:tc>
        <w:tc>
          <w:tcPr>
            <w:tcW w:w="1559" w:type="dxa"/>
            <w:tcBorders>
              <w:top w:val="single" w:color="000000" w:sz="4" w:space="0"/>
              <w:left w:val="nil"/>
              <w:bottom w:val="single" w:color="000000" w:sz="4" w:space="0"/>
              <w:right w:val="single" w:color="000000" w:sz="4" w:space="0"/>
            </w:tcBorders>
            <w:vAlign w:val="center"/>
          </w:tcPr>
          <w:p w14:paraId="40D182B3">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2016-2021</w:t>
            </w:r>
          </w:p>
        </w:tc>
        <w:tc>
          <w:tcPr>
            <w:tcW w:w="1984" w:type="dxa"/>
            <w:tcBorders>
              <w:top w:val="single" w:color="000000" w:sz="4" w:space="0"/>
              <w:left w:val="nil"/>
              <w:bottom w:val="single" w:color="000000" w:sz="4" w:space="0"/>
              <w:right w:val="single" w:color="000000" w:sz="4" w:space="0"/>
            </w:tcBorders>
            <w:vAlign w:val="center"/>
          </w:tcPr>
          <w:p w14:paraId="3434A34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bidi w:val="0"/>
              <w:adjustRightInd/>
              <w:spacing w:before="0" w:beforeAutospacing="0" w:after="0" w:afterAutospacing="0" w:line="240" w:lineRule="auto"/>
              <w:ind w:left="0" w:leftChars="0" w:right="0" w:rightChars="0" w:firstLine="0" w:firstLineChars="0"/>
              <w:jc w:val="center"/>
              <w:textAlignment w:val="center"/>
              <w:outlineLvl w:val="0"/>
              <w:rPr>
                <w:rFonts w:ascii="Times New Roman" w:hAnsi="Times New Roman" w:eastAsia="方正小标宋简体" w:cs="Times New Roman"/>
                <w:snapToGrid w:val="0"/>
                <w:color w:val="000000"/>
                <w:kern w:val="44"/>
                <w:sz w:val="44"/>
                <w:szCs w:val="21"/>
                <w:lang w:val="en-US" w:eastAsia="zh-CN" w:bidi="ar-SA"/>
              </w:rPr>
            </w:pPr>
            <w:r>
              <w:rPr>
                <w:rFonts w:hint="eastAsia" w:ascii="Times New Roman" w:hAnsi="Times New Roman" w:eastAsia="宋体" w:cs="Times New Roman"/>
                <w:snapToGrid w:val="0"/>
                <w:color w:val="000000"/>
                <w:kern w:val="2"/>
                <w:sz w:val="21"/>
                <w:szCs w:val="21"/>
                <w:lang w:val="en-US" w:eastAsia="zh-CN" w:bidi="ar-SA"/>
              </w:rPr>
              <w:t>奶水牛同期发情－人工授精操作技术规程</w:t>
            </w:r>
          </w:p>
        </w:tc>
        <w:tc>
          <w:tcPr>
            <w:tcW w:w="1134" w:type="dxa"/>
            <w:tcBorders>
              <w:top w:val="single" w:color="000000" w:sz="4" w:space="0"/>
              <w:left w:val="nil"/>
              <w:bottom w:val="single" w:color="000000" w:sz="4" w:space="0"/>
              <w:right w:val="single" w:color="000000" w:sz="4" w:space="0"/>
            </w:tcBorders>
            <w:vAlign w:val="center"/>
          </w:tcPr>
          <w:p w14:paraId="15BA3FB4">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地方标准（1-1）</w:t>
            </w:r>
          </w:p>
        </w:tc>
        <w:tc>
          <w:tcPr>
            <w:tcW w:w="1134" w:type="dxa"/>
            <w:tcBorders>
              <w:top w:val="single" w:color="000000" w:sz="4" w:space="0"/>
              <w:left w:val="nil"/>
              <w:bottom w:val="single" w:color="000000" w:sz="4" w:space="0"/>
              <w:right w:val="single" w:color="000000" w:sz="4" w:space="0"/>
            </w:tcBorders>
            <w:vAlign w:val="center"/>
          </w:tcPr>
          <w:p w14:paraId="4135A247">
            <w:pPr>
              <w:adjustRightInd w:val="0"/>
              <w:snapToGrid w:val="0"/>
              <w:spacing w:line="320" w:lineRule="exact"/>
              <w:rPr>
                <w:rFonts w:ascii="Times New Roman" w:hAnsi="Times New Roman" w:eastAsia="宋体" w:cs="Times New Roman"/>
                <w:snapToGrid w:val="0"/>
                <w:color w:val="000000"/>
                <w:szCs w:val="21"/>
              </w:rPr>
            </w:pPr>
          </w:p>
        </w:tc>
      </w:tr>
      <w:tr w14:paraId="19A60E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172DB69">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Cs w:val="21"/>
                <w:lang w:val="en-US" w:eastAsia="zh-CN"/>
              </w:rPr>
              <w:t>5</w:t>
            </w:r>
          </w:p>
        </w:tc>
        <w:tc>
          <w:tcPr>
            <w:tcW w:w="1567" w:type="dxa"/>
            <w:tcBorders>
              <w:top w:val="single" w:color="000000" w:sz="4" w:space="0"/>
              <w:left w:val="nil"/>
              <w:bottom w:val="single" w:color="000000" w:sz="4" w:space="0"/>
              <w:right w:val="single" w:color="000000" w:sz="4" w:space="0"/>
            </w:tcBorders>
            <w:vAlign w:val="center"/>
          </w:tcPr>
          <w:p w14:paraId="4F0AA5FD">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default" w:ascii="Times New Roman" w:hAnsi="Times New Roman" w:eastAsia="宋体" w:cs="Times New Roman"/>
                <w:snapToGrid w:val="0"/>
                <w:color w:val="000000"/>
                <w:sz w:val="21"/>
                <w:szCs w:val="21"/>
                <w:lang w:val="en-US" w:eastAsia="zh-CN"/>
              </w:rPr>
              <w:t>共同知识产权</w:t>
            </w:r>
          </w:p>
        </w:tc>
        <w:tc>
          <w:tcPr>
            <w:tcW w:w="1134" w:type="dxa"/>
            <w:tcBorders>
              <w:top w:val="single" w:color="000000" w:sz="4" w:space="0"/>
              <w:left w:val="nil"/>
              <w:bottom w:val="single" w:color="000000" w:sz="4" w:space="0"/>
              <w:right w:val="single" w:color="000000" w:sz="4" w:space="0"/>
            </w:tcBorders>
            <w:vAlign w:val="center"/>
          </w:tcPr>
          <w:p w14:paraId="16CDA40A">
            <w:pPr>
              <w:adjustRightInd w:val="0"/>
              <w:snapToGrid w:val="0"/>
              <w:spacing w:beforeAutospacing="0" w:afterAutospacing="0" w:line="320" w:lineRule="exact"/>
              <w:jc w:val="left"/>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鄢胜飞、覃广胜</w:t>
            </w:r>
          </w:p>
        </w:tc>
        <w:tc>
          <w:tcPr>
            <w:tcW w:w="1559" w:type="dxa"/>
            <w:tcBorders>
              <w:top w:val="single" w:color="000000" w:sz="4" w:space="0"/>
              <w:left w:val="nil"/>
              <w:bottom w:val="single" w:color="000000" w:sz="4" w:space="0"/>
              <w:right w:val="single" w:color="000000" w:sz="4" w:space="0"/>
            </w:tcBorders>
            <w:vAlign w:val="center"/>
          </w:tcPr>
          <w:p w14:paraId="59E24E9A">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2021-2023</w:t>
            </w:r>
          </w:p>
        </w:tc>
        <w:tc>
          <w:tcPr>
            <w:tcW w:w="1984" w:type="dxa"/>
            <w:tcBorders>
              <w:top w:val="single" w:color="000000" w:sz="4" w:space="0"/>
              <w:left w:val="nil"/>
              <w:bottom w:val="single" w:color="000000" w:sz="4" w:space="0"/>
              <w:right w:val="single" w:color="000000" w:sz="4" w:space="0"/>
            </w:tcBorders>
            <w:vAlign w:val="center"/>
          </w:tcPr>
          <w:p w14:paraId="53B3169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bidi w:val="0"/>
              <w:adjustRightInd/>
              <w:spacing w:before="0" w:beforeAutospacing="0" w:after="0" w:afterAutospacing="0" w:line="240" w:lineRule="auto"/>
              <w:ind w:left="0" w:leftChars="0" w:right="0" w:rightChars="0" w:firstLine="0" w:firstLineChars="0"/>
              <w:jc w:val="center"/>
              <w:textAlignment w:val="center"/>
              <w:outlineLvl w:val="0"/>
              <w:rPr>
                <w:rFonts w:ascii="Times New Roman" w:hAnsi="Times New Roman" w:eastAsia="方正小标宋简体" w:cs="Times New Roman"/>
                <w:snapToGrid w:val="0"/>
                <w:color w:val="000000"/>
                <w:kern w:val="44"/>
                <w:sz w:val="44"/>
                <w:szCs w:val="21"/>
                <w:lang w:val="en-US" w:eastAsia="zh-CN" w:bidi="ar-SA"/>
              </w:rPr>
            </w:pPr>
            <w:r>
              <w:rPr>
                <w:rFonts w:hint="default" w:ascii="Times New Roman" w:hAnsi="Times New Roman" w:eastAsia="宋体" w:cs="Times New Roman"/>
                <w:snapToGrid w:val="0"/>
                <w:color w:val="000000"/>
                <w:kern w:val="2"/>
                <w:sz w:val="21"/>
                <w:szCs w:val="21"/>
                <w:lang w:val="en-US" w:eastAsia="zh-CN" w:bidi="ar-SA"/>
              </w:rPr>
              <w:t>一种与牛生长性状相关的SNP分子标记及其应用</w:t>
            </w:r>
          </w:p>
        </w:tc>
        <w:tc>
          <w:tcPr>
            <w:tcW w:w="1134" w:type="dxa"/>
            <w:tcBorders>
              <w:top w:val="single" w:color="000000" w:sz="4" w:space="0"/>
              <w:left w:val="nil"/>
              <w:bottom w:val="single" w:color="000000" w:sz="4" w:space="0"/>
              <w:right w:val="single" w:color="000000" w:sz="4" w:space="0"/>
            </w:tcBorders>
            <w:vAlign w:val="center"/>
          </w:tcPr>
          <w:p w14:paraId="086E9B80">
            <w:pPr>
              <w:adjustRightInd w:val="0"/>
              <w:snapToGrid w:val="0"/>
              <w:spacing w:beforeAutospacing="0" w:afterAutospacing="0" w:line="320" w:lineRule="exact"/>
              <w:jc w:val="center"/>
              <w:rPr>
                <w:rFonts w:ascii="Times New Roman" w:hAnsi="Times New Roman" w:eastAsia="宋体" w:cs="Times New Roman"/>
                <w:snapToGrid w:val="0"/>
                <w:color w:val="000000"/>
                <w:szCs w:val="21"/>
              </w:rPr>
            </w:pPr>
            <w:r>
              <w:rPr>
                <w:rFonts w:hint="eastAsia" w:ascii="Times New Roman" w:hAnsi="Times New Roman" w:eastAsia="宋体" w:cs="Times New Roman"/>
                <w:snapToGrid w:val="0"/>
                <w:color w:val="000000"/>
                <w:sz w:val="21"/>
                <w:szCs w:val="21"/>
                <w:lang w:val="en-US" w:eastAsia="zh-CN"/>
              </w:rPr>
              <w:t>发明专利（1-6）</w:t>
            </w:r>
          </w:p>
        </w:tc>
        <w:tc>
          <w:tcPr>
            <w:tcW w:w="1134" w:type="dxa"/>
            <w:tcBorders>
              <w:top w:val="single" w:color="000000" w:sz="4" w:space="0"/>
              <w:left w:val="nil"/>
              <w:bottom w:val="single" w:color="000000" w:sz="4" w:space="0"/>
              <w:right w:val="single" w:color="000000" w:sz="4" w:space="0"/>
            </w:tcBorders>
            <w:vAlign w:val="center"/>
          </w:tcPr>
          <w:p w14:paraId="2F51D4F2">
            <w:pPr>
              <w:adjustRightInd w:val="0"/>
              <w:snapToGrid w:val="0"/>
              <w:spacing w:line="320" w:lineRule="exact"/>
              <w:rPr>
                <w:rFonts w:ascii="Times New Roman" w:hAnsi="Times New Roman" w:eastAsia="宋体" w:cs="Times New Roman"/>
                <w:snapToGrid w:val="0"/>
                <w:color w:val="000000"/>
                <w:szCs w:val="21"/>
              </w:rPr>
            </w:pPr>
          </w:p>
        </w:tc>
      </w:tr>
    </w:tbl>
    <w:p w14:paraId="06C2D1C8">
      <w:pPr>
        <w:widowControl w:val="0"/>
        <w:spacing w:line="540" w:lineRule="exact"/>
        <w:jc w:val="both"/>
        <w:rPr>
          <w:rFonts w:ascii="Times New Roman" w:hAnsi="Times New Roman" w:eastAsia="仿宋_GB2312" w:cs="Times New Roman"/>
          <w:kern w:val="2"/>
          <w:sz w:val="32"/>
          <w:lang w:val="en-US" w:eastAsia="zh-CN" w:bidi="ar-SA"/>
        </w:rPr>
      </w:pPr>
    </w:p>
    <w:p w14:paraId="4E5F4FFB">
      <w:pPr>
        <w:widowControl w:val="0"/>
        <w:spacing w:line="540" w:lineRule="exact"/>
        <w:jc w:val="both"/>
        <w:rPr>
          <w:rFonts w:ascii="Times New Roman" w:hAnsi="Times New Roman" w:eastAsia="仿宋_GB2312" w:cs="Times New Roman"/>
          <w:kern w:val="2"/>
          <w:sz w:val="32"/>
          <w:lang w:val="en-US" w:eastAsia="zh-CN" w:bidi="ar-SA"/>
        </w:rPr>
      </w:pPr>
    </w:p>
    <w:p w14:paraId="6A196E32">
      <w:pPr>
        <w:spacing w:line="520" w:lineRule="exact"/>
        <w:rPr>
          <w:rFonts w:ascii="仿宋_GB2312" w:hAnsi="华文仿宋" w:eastAsia="仿宋_GB2312" w:cs="Times New Roman"/>
          <w:sz w:val="32"/>
          <w:szCs w:val="32"/>
        </w:rPr>
      </w:pPr>
    </w:p>
    <w:sectPr>
      <w:pgSz w:w="11906" w:h="16838"/>
      <w:pgMar w:top="1361" w:right="1417" w:bottom="136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WE0MTg1N2RkNTc1Y2RjMmQyYzVjYjhlNDM5MjIifQ=="/>
  </w:docVars>
  <w:rsids>
    <w:rsidRoot w:val="00571704"/>
    <w:rsid w:val="002A6904"/>
    <w:rsid w:val="00571704"/>
    <w:rsid w:val="00670D50"/>
    <w:rsid w:val="00751D80"/>
    <w:rsid w:val="007E63F9"/>
    <w:rsid w:val="008A0218"/>
    <w:rsid w:val="009C2169"/>
    <w:rsid w:val="00BE2659"/>
    <w:rsid w:val="00CA4631"/>
    <w:rsid w:val="00CD41AD"/>
    <w:rsid w:val="022F4412"/>
    <w:rsid w:val="05B6541A"/>
    <w:rsid w:val="05BD6014"/>
    <w:rsid w:val="07C71619"/>
    <w:rsid w:val="0D3D29E7"/>
    <w:rsid w:val="13C775FF"/>
    <w:rsid w:val="1E593A17"/>
    <w:rsid w:val="1FBD13E0"/>
    <w:rsid w:val="317D1040"/>
    <w:rsid w:val="408657C4"/>
    <w:rsid w:val="4490772B"/>
    <w:rsid w:val="54182A30"/>
    <w:rsid w:val="56B5697E"/>
    <w:rsid w:val="5C46093E"/>
    <w:rsid w:val="66B034BF"/>
    <w:rsid w:val="6AAD63B4"/>
    <w:rsid w:val="715C2199"/>
    <w:rsid w:val="719A37E8"/>
    <w:rsid w:val="79AA0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
    <w:basedOn w:val="1"/>
    <w:autoRedefine/>
    <w:qFormat/>
    <w:uiPriority w:val="0"/>
    <w:pPr>
      <w:jc w:val="center"/>
    </w:pPr>
    <w:rPr>
      <w:sz w:val="44"/>
    </w:rPr>
  </w:style>
  <w:style w:type="paragraph" w:styleId="3">
    <w:name w:val="Balloon Text"/>
    <w:basedOn w:val="1"/>
    <w:link w:val="7"/>
    <w:autoRedefine/>
    <w:semiHidden/>
    <w:unhideWhenUsed/>
    <w:qFormat/>
    <w:uiPriority w:val="99"/>
    <w:rPr>
      <w:sz w:val="18"/>
      <w:szCs w:val="18"/>
    </w:rPr>
  </w:style>
  <w:style w:type="table" w:styleId="5">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批注框文本 Char"/>
    <w:basedOn w:val="6"/>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4193</Words>
  <Characters>5255</Characters>
  <Lines>1</Lines>
  <Paragraphs>1</Paragraphs>
  <TotalTime>9</TotalTime>
  <ScaleCrop>false</ScaleCrop>
  <LinksUpToDate>false</LinksUpToDate>
  <CharactersWithSpaces>5482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2022-04-24T00:26:00Z</dcterms:created>
  <dc:creator>lenovo</dc:creator>
  <cp:lastModifiedBy>RC</cp:lastModifiedBy>
  <cp:lastPrinted>2022-04-24T04:39:00Z</cp:lastPrinted>
  <dcterms:modified xsi:type="dcterms:W3CDTF">2024-06-19T04:17:57Z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C7A4D2D2B9CB46D69CAF958E1E8A0D51_13</vt:lpwstr>
  </property>
</Properties>
</file>