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附件1</w:t>
      </w:r>
    </w:p>
    <w:p>
      <w:pPr>
        <w:spacing w:line="52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广西科学技术奖提名及形审公示表</w:t>
      </w:r>
    </w:p>
    <w:tbl>
      <w:tblPr>
        <w:tblStyle w:val="7"/>
        <w:tblpPr w:leftFromText="180" w:rightFromText="180" w:vertAnchor="text" w:horzAnchor="page" w:tblpXSpec="center" w:tblpY="215"/>
        <w:tblOverlap w:val="never"/>
        <w:tblW w:w="998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5"/>
        <w:gridCol w:w="582"/>
        <w:gridCol w:w="588"/>
        <w:gridCol w:w="1035"/>
        <w:gridCol w:w="975"/>
        <w:gridCol w:w="855"/>
        <w:gridCol w:w="1034"/>
        <w:gridCol w:w="883"/>
        <w:gridCol w:w="1375"/>
        <w:gridCol w:w="622"/>
        <w:gridCol w:w="82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  <w:jc w:val="center"/>
        </w:trPr>
        <w:tc>
          <w:tcPr>
            <w:tcW w:w="17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成果名称</w:t>
            </w:r>
          </w:p>
        </w:tc>
        <w:tc>
          <w:tcPr>
            <w:tcW w:w="8193" w:type="dxa"/>
            <w:gridSpan w:val="9"/>
            <w:vAlign w:val="center"/>
          </w:tcPr>
          <w:p>
            <w:pPr>
              <w:spacing w:line="360" w:lineRule="exact"/>
              <w:ind w:firstLine="560" w:firstLineChars="20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家蚕重大传染病精准防控关键技术创新集成与应用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7" w:hRule="atLeast"/>
          <w:jc w:val="center"/>
        </w:trPr>
        <w:tc>
          <w:tcPr>
            <w:tcW w:w="17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候选个人</w:t>
            </w: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（完成人）</w:t>
            </w:r>
          </w:p>
        </w:tc>
        <w:tc>
          <w:tcPr>
            <w:tcW w:w="8193" w:type="dxa"/>
            <w:gridSpan w:val="9"/>
            <w:vAlign w:val="center"/>
          </w:tcPr>
          <w:p>
            <w:pPr>
              <w:spacing w:line="360" w:lineRule="exact"/>
              <w:ind w:firstLine="560" w:firstLineChars="20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潘志新、唐  亮、蒋满贵、黄深惠、董桂清、胡文娟、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  <w:lang w:val="en-US"/>
              </w:rPr>
              <w:t>陈  鹏、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王  霞、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刘新华、何  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7" w:hRule="atLeast"/>
          <w:jc w:val="center"/>
        </w:trPr>
        <w:tc>
          <w:tcPr>
            <w:tcW w:w="17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候选组织</w:t>
            </w: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（完成单位）</w:t>
            </w:r>
          </w:p>
        </w:tc>
        <w:tc>
          <w:tcPr>
            <w:tcW w:w="8193" w:type="dxa"/>
            <w:gridSpan w:val="9"/>
            <w:vAlign w:val="center"/>
          </w:tcPr>
          <w:p>
            <w:pPr>
              <w:spacing w:line="360" w:lineRule="exact"/>
              <w:ind w:firstLine="560" w:firstLineChars="20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广西壮族自治区蚕业技术推广站、西南大学、武汉理工大学、河池市蚕业技术推广站、百色市蚕业发展中心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  <w:jc w:val="center"/>
        </w:trPr>
        <w:tc>
          <w:tcPr>
            <w:tcW w:w="17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提 名 者</w:t>
            </w:r>
          </w:p>
        </w:tc>
        <w:tc>
          <w:tcPr>
            <w:tcW w:w="8193" w:type="dxa"/>
            <w:gridSpan w:val="9"/>
            <w:vAlign w:val="center"/>
          </w:tcPr>
          <w:p>
            <w:pPr>
              <w:spacing w:line="360" w:lineRule="exact"/>
              <w:ind w:firstLine="560" w:firstLineChars="20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广西壮族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自治区农业农村厅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知识产权（标准）类别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知识产权（标准）具体名称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国家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（地区）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授权号（标准编号）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授权（标准发布）日期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证书编号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（标准批准发布部门）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权利人（标准起草单位）</w:t>
            </w:r>
          </w:p>
        </w:tc>
        <w:tc>
          <w:tcPr>
            <w:tcW w:w="13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发明人（标准起草人）</w:t>
            </w:r>
          </w:p>
        </w:tc>
        <w:tc>
          <w:tcPr>
            <w:tcW w:w="622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发明专利（标准）有效状态</w:t>
            </w:r>
          </w:p>
        </w:tc>
        <w:tc>
          <w:tcPr>
            <w:tcW w:w="82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广西单位是否为原始权利人、起草人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3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蚕新品种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桂蚕16号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黑体" w:hAnsi="黑体" w:eastAsia="黑体" w:cs="黑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中国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桂审蚕2023001号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2023/6/28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黑体" w:hAnsi="黑体" w:eastAsia="黑体" w:cs="黑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2023-1-0230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广西壮族自治区蚕业技术推广站</w:t>
            </w:r>
          </w:p>
        </w:tc>
        <w:tc>
          <w:tcPr>
            <w:tcW w:w="13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潘志新,唐亮,蒋满贵,唐名艳,黄深惠,李标,陈小青,董桂清,王平阳,黄旭华,王霞,张雨丽,崔秋英,赵烨芸</w:t>
            </w:r>
          </w:p>
        </w:tc>
        <w:tc>
          <w:tcPr>
            <w:tcW w:w="622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有效</w:t>
            </w:r>
          </w:p>
        </w:tc>
        <w:tc>
          <w:tcPr>
            <w:tcW w:w="82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5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发明专利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快速检测家蚕核型多角体病毒的探针、试剂盒及检测方法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中国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ZL 2021 1 1663659.1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2022/10/18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eastAsia="zh-CN"/>
              </w:rPr>
              <w:t>第</w:t>
            </w: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5520834号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广西壮族自治区蚕业技术推广站</w:t>
            </w:r>
          </w:p>
        </w:tc>
        <w:tc>
          <w:tcPr>
            <w:tcW w:w="13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唐亮,潘志新,唐名艳,蒋满贵,董桂清,王霞,黄深惠,陈小青,赵烨芸</w:t>
            </w:r>
          </w:p>
        </w:tc>
        <w:tc>
          <w:tcPr>
            <w:tcW w:w="622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有效</w:t>
            </w:r>
          </w:p>
        </w:tc>
        <w:tc>
          <w:tcPr>
            <w:tcW w:w="82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5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发明专利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蚕病识别系统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中国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ZL 2020 1 1509810.1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2022/8/12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黑体" w:hAnsi="黑体" w:eastAsia="黑体" w:cs="黑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eastAsia="zh-CN"/>
              </w:rPr>
              <w:t>第</w:t>
            </w: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5382216号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广西壮族自治区蚕业技术推广站</w:t>
            </w:r>
          </w:p>
        </w:tc>
        <w:tc>
          <w:tcPr>
            <w:tcW w:w="13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潘志新,唐亮,夏定元,蒋满贵,董桂清,黄深惠,余振,陈小青,胡文娟,王霞,程安军,黄旭华</w:t>
            </w:r>
          </w:p>
        </w:tc>
        <w:tc>
          <w:tcPr>
            <w:tcW w:w="622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有效</w:t>
            </w:r>
          </w:p>
        </w:tc>
        <w:tc>
          <w:tcPr>
            <w:tcW w:w="82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发明专利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防控家蚕白僵病的组合物及其制备和应用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中国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ZL 2020 1 1603519.0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2022/4/15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eastAsia="zh-CN"/>
              </w:rPr>
              <w:t>第</w:t>
            </w: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5083658号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广西壮族自治区蚕业技术推广站</w:t>
            </w:r>
          </w:p>
        </w:tc>
        <w:tc>
          <w:tcPr>
            <w:tcW w:w="13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黄深惠,潘志新,蒋满贵,黄旭华,唐亮,陈小青,王霞</w:t>
            </w:r>
          </w:p>
        </w:tc>
        <w:tc>
          <w:tcPr>
            <w:tcW w:w="622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有效</w:t>
            </w:r>
          </w:p>
        </w:tc>
        <w:tc>
          <w:tcPr>
            <w:tcW w:w="82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标准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小蚕共育防病技术规程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中国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DB45/T 2300-2021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2021/4/25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</w:p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广西壮族自治区市场监督管理局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广西壮族自治区蚕业技术推广站</w:t>
            </w:r>
          </w:p>
        </w:tc>
        <w:tc>
          <w:tcPr>
            <w:tcW w:w="13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潘志新,唐亮,蒋满贵,黄深惠,陈小青,董桂清,王霞,黄旭华,胡文娟,冉艳萍</w:t>
            </w:r>
          </w:p>
        </w:tc>
        <w:tc>
          <w:tcPr>
            <w:tcW w:w="622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有效</w:t>
            </w:r>
          </w:p>
        </w:tc>
        <w:tc>
          <w:tcPr>
            <w:tcW w:w="82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论文名称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刊名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作者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年卷页码(xx年xx卷xx页)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发表时间（年月日）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通讯作者（含共同）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第一作者(含共同)</w:t>
            </w:r>
          </w:p>
        </w:tc>
        <w:tc>
          <w:tcPr>
            <w:tcW w:w="13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署名单位</w:t>
            </w:r>
          </w:p>
        </w:tc>
        <w:tc>
          <w:tcPr>
            <w:tcW w:w="622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</w:p>
        </w:tc>
        <w:tc>
          <w:tcPr>
            <w:tcW w:w="82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广西单位是否署名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Cs/>
                <w:sz w:val="18"/>
                <w:szCs w:val="18"/>
                <w:lang w:val="en-US" w:eastAsia="zh-CN"/>
              </w:rPr>
              <w:t>Apoptosis-related long non-coding RNA LINC5438 of Bombyx mori promotes the proliferation of BmNPV</w:t>
            </w: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（家蚕细胞凋亡相关长非编码RNA LINC5438对BmNPV增殖的促进作用）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Cs/>
                <w:sz w:val="18"/>
                <w:szCs w:val="18"/>
                <w:lang w:val="en-US" w:eastAsia="zh-CN"/>
              </w:rPr>
              <w:t>Pesticide biochemistry and physiology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</w:pPr>
          </w:p>
          <w:p>
            <w:pPr>
              <w:spacing w:line="260" w:lineRule="exact"/>
              <w:jc w:val="center"/>
              <w:rPr>
                <w:rFonts w:hint="default" w:ascii="黑体" w:hAnsi="黑体" w:eastAsia="黑体" w:cs="黑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 xml:space="preserve"> Peng Chen(陈鹏), Min  Cai（蔡敏）,YuJie  Feng(封雨洁).Cong  Li(李聪),</w:t>
            </w:r>
          </w:p>
          <w:p>
            <w:pPr>
              <w:spacing w:line="260" w:lineRule="exact"/>
              <w:jc w:val="center"/>
              <w:rPr>
                <w:rFonts w:hint="default" w:ascii="黑体" w:hAnsi="黑体" w:eastAsia="黑体" w:cs="黑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ZhanQi  Dong(董战旗),WenFu  Xiao(肖文福),Liang Tang(唐亮），Yan  Zhu(朱艳),</w:t>
            </w:r>
          </w:p>
          <w:p>
            <w:pPr>
              <w:spacing w:line="260" w:lineRule="exact"/>
              <w:jc w:val="center"/>
              <w:rPr>
                <w:rFonts w:hint="default" w:ascii="黑体" w:hAnsi="黑体" w:eastAsia="黑体" w:cs="黑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Ting  Tian(田婷),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 xml:space="preserve">BoYuan  Deng(邓博远), </w:t>
            </w:r>
          </w:p>
          <w:p>
            <w:pPr>
              <w:spacing w:line="260" w:lineRule="exact"/>
              <w:jc w:val="center"/>
              <w:rPr>
                <w:rFonts w:hint="default" w:ascii="黑体" w:hAnsi="黑体" w:eastAsia="黑体" w:cs="黑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MinHui  Pan(潘敏慧),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Cheng  Lu(鲁成)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Cs/>
                <w:sz w:val="18"/>
                <w:szCs w:val="18"/>
                <w:lang w:val="en-US" w:eastAsia="zh-CN"/>
              </w:rPr>
              <w:t>2023, 191: 105380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黑体" w:hAnsi="黑体" w:eastAsia="黑体" w:cs="黑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2023/4/1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MinHui Pan（潘敏慧）, Cheng Lu（鲁成）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Peng Chen（陈鹏）</w:t>
            </w:r>
          </w:p>
        </w:tc>
        <w:tc>
          <w:tcPr>
            <w:tcW w:w="13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</w:pPr>
          </w:p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 xml:space="preserve"> Southwest University（西南大学）,</w:t>
            </w:r>
          </w:p>
          <w:p>
            <w:pPr>
              <w:spacing w:line="260" w:lineRule="exact"/>
              <w:jc w:val="center"/>
              <w:rPr>
                <w:rFonts w:hint="default" w:ascii="黑体" w:hAnsi="黑体" w:eastAsia="黑体" w:cs="黑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 xml:space="preserve"> Sericultural Research Institute Sichuan Academy of Agricultural Sciences（四川省农业科学院蚕业研究所）,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 xml:space="preserve"> Sericulture Technology Promotion Station of Guangxi（广西壮族自治区蚕业技术推广站）  </w:t>
            </w:r>
          </w:p>
        </w:tc>
        <w:tc>
          <w:tcPr>
            <w:tcW w:w="622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82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黑体" w:hAnsi="黑体" w:eastAsia="黑体" w:cs="黑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8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A Silkworm Counting Method With Density Map Based on Multiscale Feature Fusion（一种基于多尺度特征融合的密度图家蚕计数方法）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The 19th IEEE International Conference on Ubiquitous Intelligence and Computing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Hailan Kuang（（旷海兰）），Weijia Wang（王唯嘉），Liang  Tang（唐亮）,Xiaolin Ma（马小林），Xinhua Liu（刘新华）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2022:1544-1550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2022/12/15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Xinhua Liu（刘新华）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Hailan Kuang（旷海兰）</w:t>
            </w:r>
          </w:p>
        </w:tc>
        <w:tc>
          <w:tcPr>
            <w:tcW w:w="13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Wuhan University of Technology（武汉理工大学）,Sericulture Technology Promotion Master Station of Guangxi（广西壮族自治区蚕业技术推广站）</w:t>
            </w:r>
          </w:p>
        </w:tc>
        <w:tc>
          <w:tcPr>
            <w:tcW w:w="622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82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5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家蚕抗性品系NC99R抗BmNPV作用机制分析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生物工程学报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董战旗,雷雪蛟,秦琪, 张新铃,唐亮,石美宁,潘敏慧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2020, 36 (01): 100-108.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2019/5/31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潘敏慧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董战旗</w:t>
            </w:r>
          </w:p>
        </w:tc>
        <w:tc>
          <w:tcPr>
            <w:tcW w:w="13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西南大学、广西壮族自治区蚕业技术推广站</w:t>
            </w:r>
          </w:p>
        </w:tc>
        <w:tc>
          <w:tcPr>
            <w:tcW w:w="622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2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论文名称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刊名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作者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年卷页码(xx年xx卷xx页)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发表时间（年月日）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通讯作者（含共同）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第一作者(含共同)</w:t>
            </w:r>
          </w:p>
        </w:tc>
        <w:tc>
          <w:tcPr>
            <w:tcW w:w="13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署名单位</w:t>
            </w:r>
          </w:p>
        </w:tc>
        <w:tc>
          <w:tcPr>
            <w:tcW w:w="622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2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广西单位是否署名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基于BSA-Seq 的家蚕NC99R 抗BmNPV分子标记鉴定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南方农业学报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唐亮,蒋满贵,唐明艳,黄深惠,陈小青,董桂清,王平阳,潘志新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黑体" w:hAnsi="黑体" w:eastAsia="黑体" w:cs="黑体"/>
                <w:bCs/>
                <w:sz w:val="18"/>
                <w:szCs w:val="18"/>
                <w:lang w:val="en-US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2023,54(8):2406-2414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2023/3/21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潘志新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唐亮</w:t>
            </w:r>
          </w:p>
        </w:tc>
        <w:tc>
          <w:tcPr>
            <w:tcW w:w="13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广西壮族自治区蚕业技术推广站</w:t>
            </w:r>
          </w:p>
        </w:tc>
        <w:tc>
          <w:tcPr>
            <w:tcW w:w="622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</w:p>
        </w:tc>
        <w:tc>
          <w:tcPr>
            <w:tcW w:w="82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家蚕血液型脓病流行规律及其与气象因子的相关性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南方农业学报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唐 亮,蒋满贵,石美宁,董桂清,王霞,胡文娟,黄深惠,陈小青,黄旭华,潘志新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2020,51(5):1217-1223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2020/5/15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潘志新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唐亮</w:t>
            </w:r>
          </w:p>
        </w:tc>
        <w:tc>
          <w:tcPr>
            <w:tcW w:w="13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广西壮族自治区蚕业技术推广站</w:t>
            </w:r>
          </w:p>
        </w:tc>
        <w:tc>
          <w:tcPr>
            <w:tcW w:w="622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2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广西家蚕僵病流行趋势及其主要病原遗传规律研究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南方农业学报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唐亮,胡文娟,蒋满贵,黄深惠,董桂清,李标,唐名艳,赵烨芸,何 骥,潘志新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2022,53(7):1785-1795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2022/7/15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潘志新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唐亮</w:t>
            </w:r>
          </w:p>
        </w:tc>
        <w:tc>
          <w:tcPr>
            <w:tcW w:w="13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广西壮族自治区蚕业技术推广站</w:t>
            </w:r>
          </w:p>
        </w:tc>
        <w:tc>
          <w:tcPr>
            <w:tcW w:w="622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2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5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广西家蚕“两广二号”血液型脓病传染因子及其偏相关分析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广西蚕业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唐亮,唐名艳,潘志新,蒋满贵,赵烨芸,余武昌,李标,虞崇江,董桂清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2022,59(2):1-6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2022/6/15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董桂清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唐亮</w:t>
            </w:r>
          </w:p>
        </w:tc>
        <w:tc>
          <w:tcPr>
            <w:tcW w:w="13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  <w:lang w:val="en-US" w:eastAsia="zh-CN"/>
              </w:rPr>
              <w:t>广西壮族自治区蚕业技术推广站</w:t>
            </w:r>
          </w:p>
        </w:tc>
        <w:tc>
          <w:tcPr>
            <w:tcW w:w="622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2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9980" w:type="dxa"/>
            <w:gridSpan w:val="11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提名意见：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根据《广西科学技术奖励办法》《广西科学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 w:val="24"/>
                <w:szCs w:val="24"/>
              </w:rPr>
              <w:t>技术奖励办法实施细则》相关规定，提名该个人、组织为科学技术奖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 w:val="24"/>
                <w:szCs w:val="24"/>
                <w:u w:val="single"/>
                <w:lang w:eastAsia="zh-CN"/>
              </w:rPr>
              <w:t>一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 w:val="24"/>
                <w:szCs w:val="24"/>
              </w:rPr>
              <w:t>等 、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 w:val="24"/>
                <w:szCs w:val="24"/>
                <w:u w:val="single"/>
                <w:lang w:eastAsia="zh-CN"/>
              </w:rPr>
              <w:t>二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 w:val="24"/>
                <w:szCs w:val="24"/>
              </w:rPr>
              <w:t>等奖候选个人、候选组织。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" w:hRule="atLeast"/>
          <w:jc w:val="center"/>
        </w:trPr>
        <w:tc>
          <w:tcPr>
            <w:tcW w:w="9980" w:type="dxa"/>
            <w:gridSpan w:val="11"/>
            <w:tcMar>
              <w:left w:w="57" w:type="dxa"/>
              <w:right w:w="57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第一候选组织简介（不超过100字）：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广西壮族自治区蚕业技术推广站，是集蚕业科学研究和技术推广等职能于一体的省级综合科研机构，主要开展蚕桑种质资源收集创新、技术创新与推广、病虫害防控等科研工作，共育成家蚕新品种22对、桑树新品种10个，先后获得国家级科技奖5项，省部级科技奖42项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  <w:jc w:val="center"/>
        </w:trPr>
        <w:tc>
          <w:tcPr>
            <w:tcW w:w="9980" w:type="dxa"/>
            <w:gridSpan w:val="11"/>
            <w:tcMar>
              <w:left w:w="57" w:type="dxa"/>
              <w:right w:w="57" w:type="dxa"/>
            </w:tcMar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成果简介（不超过200字）：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本成果属于农业特种经济动物饲养的传染病防控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领域。十多年来，围绕抗病品种创新、病原特征特性及感染流行规律、蚕病早期快速诊断技术等研究，并与基于气象资料大数据蚕病预测预警、基于手机端人工智能远程识别诊断等现代技术相结合，进行系统创新集成，构建了家蚕重大传染病精准防控关键技术。培育家蚕新品种2个，授权发明专利6件、软件著作权2项，论文40余篇，制定地方标准6项等，成果在河池、百色等蚕区应用近三年新增产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 w:bidi="ar-SA"/>
              </w:rPr>
              <w:t>值204.18亿元、新增利润140.87亿元。</w:t>
            </w:r>
          </w:p>
        </w:tc>
      </w:tr>
    </w:tbl>
    <w:p>
      <w:pPr>
        <w:pStyle w:val="10"/>
        <w:spacing w:line="240" w:lineRule="exact"/>
        <w:rPr>
          <w:sz w:val="21"/>
          <w:szCs w:val="21"/>
        </w:rPr>
      </w:pPr>
    </w:p>
    <w:p>
      <w:r>
        <w:br w:type="page"/>
      </w:r>
    </w:p>
    <w:p/>
    <w:p>
      <w:pPr>
        <w:adjustRightInd w:val="0"/>
        <w:snapToGrid w:val="0"/>
        <w:spacing w:line="406" w:lineRule="exact"/>
        <w:jc w:val="center"/>
        <w:outlineLvl w:val="1"/>
        <w:rPr>
          <w:rStyle w:val="12"/>
          <w:rFonts w:hint="default" w:ascii="Times New Roman" w:eastAsia="方正黑体_GBK"/>
          <w:b w:val="0"/>
          <w:bCs w:val="0"/>
          <w:snapToGrid w:val="0"/>
          <w:color w:val="000000"/>
          <w:kern w:val="2"/>
          <w:sz w:val="28"/>
          <w:szCs w:val="28"/>
        </w:rPr>
      </w:pPr>
      <w:r>
        <w:rPr>
          <w:rStyle w:val="12"/>
          <w:rFonts w:ascii="Times New Roman" w:eastAsia="方正黑体_GBK"/>
          <w:b w:val="0"/>
          <w:bCs w:val="0"/>
          <w:snapToGrid w:val="0"/>
          <w:color w:val="000000"/>
          <w:kern w:val="2"/>
          <w:sz w:val="28"/>
          <w:szCs w:val="28"/>
        </w:rPr>
        <w:t>候选个人合作情况</w:t>
      </w:r>
    </w:p>
    <w:p>
      <w:pPr>
        <w:adjustRightInd w:val="0"/>
        <w:snapToGrid w:val="0"/>
        <w:spacing w:line="406" w:lineRule="exact"/>
        <w:rPr>
          <w:snapToGrid w:val="0"/>
          <w:color w:val="000000"/>
          <w:sz w:val="28"/>
          <w:szCs w:val="28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7" w:type="dxa"/>
          </w:tcPr>
          <w:p>
            <w:pPr>
              <w:adjustRightInd w:val="0"/>
              <w:snapToGrid w:val="0"/>
              <w:spacing w:line="406" w:lineRule="exact"/>
              <w:jc w:val="center"/>
              <w:rPr>
                <w:rFonts w:eastAsia="方正黑体_GBK"/>
                <w:snapToGrid w:val="0"/>
                <w:color w:val="000000"/>
                <w:sz w:val="28"/>
                <w:szCs w:val="28"/>
              </w:rPr>
            </w:pPr>
            <w:r>
              <w:rPr>
                <w:rFonts w:hint="eastAsia" w:eastAsia="方正黑体_GBK"/>
                <w:snapToGrid w:val="0"/>
                <w:color w:val="000000"/>
                <w:sz w:val="28"/>
                <w:szCs w:val="28"/>
              </w:rPr>
              <w:t>候选个人合作关系说明</w:t>
            </w:r>
          </w:p>
          <w:p>
            <w:pPr>
              <w:adjustRightInd w:val="0"/>
              <w:snapToGrid w:val="0"/>
              <w:spacing w:line="406" w:lineRule="exact"/>
              <w:rPr>
                <w:rFonts w:eastAsia="方正黑体_GBK"/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rPr>
                <w:snapToGrid w:val="0"/>
                <w:color w:val="000000"/>
                <w:szCs w:val="21"/>
              </w:rPr>
            </w:pPr>
            <w:r>
              <w:rPr>
                <w:snapToGrid w:val="0"/>
                <w:color w:val="000000"/>
                <w:szCs w:val="21"/>
              </w:rPr>
              <w:t>（候选个人不在同一工作单位的，应填写该说明。</w:t>
            </w:r>
            <w:r>
              <w:rPr>
                <w:b/>
                <w:bCs/>
                <w:snapToGrid w:val="0"/>
                <w:color w:val="000000"/>
                <w:szCs w:val="21"/>
              </w:rPr>
              <w:t>候选个人均为同一单位则不用填写该说明。</w:t>
            </w:r>
            <w:r>
              <w:rPr>
                <w:snapToGrid w:val="0"/>
                <w:color w:val="000000"/>
                <w:szCs w:val="21"/>
              </w:rPr>
              <w:t>）</w:t>
            </w:r>
          </w:p>
          <w:p>
            <w:pPr>
              <w:adjustRightInd w:val="0"/>
              <w:snapToGrid w:val="0"/>
              <w:spacing w:line="406" w:lineRule="exact"/>
              <w:ind w:firstLine="420" w:firstLineChars="200"/>
              <w:rPr>
                <w:rFonts w:hint="eastAsia" w:ascii="Times New Roman" w:hAnsi="Times New Roman" w:eastAsia="宋体" w:cs="Times New Roman"/>
                <w:snapToGrid w:val="0"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zCs w:val="21"/>
              </w:rPr>
              <w:t>本项目由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zCs w:val="21"/>
                <w:lang w:val="en-US" w:eastAsia="zh-CN"/>
              </w:rPr>
              <w:t>潘志新、唐  亮、蒋满贵、黄深惠、董桂清、胡文娟、</w:t>
            </w: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szCs w:val="21"/>
                <w:lang w:val="en-US"/>
              </w:rPr>
              <w:t>陈  鹏、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zCs w:val="21"/>
              </w:rPr>
              <w:t>王  霞、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zCs w:val="21"/>
                <w:lang w:val="en-US" w:eastAsia="zh-CN"/>
              </w:rPr>
              <w:t>刘新华、何  骥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zCs w:val="21"/>
              </w:rPr>
              <w:t>等1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zCs w:val="21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zCs w:val="21"/>
              </w:rPr>
              <w:t>名主要完成人共同完成。上述合作人最早从20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zCs w:val="21"/>
                <w:lang w:val="en-US" w:eastAsia="zh-CN"/>
              </w:rPr>
              <w:t>11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zCs w:val="21"/>
              </w:rPr>
              <w:t>年起就开始围绕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zCs w:val="21"/>
                <w:lang w:eastAsia="zh-CN"/>
              </w:rPr>
              <w:t>广西</w:t>
            </w:r>
            <w:r>
              <w:rPr>
                <w:rFonts w:hint="eastAsia" w:cs="Times New Roman"/>
                <w:snapToGrid w:val="0"/>
                <w:color w:val="000000"/>
                <w:szCs w:val="21"/>
                <w:lang w:eastAsia="zh-CN"/>
              </w:rPr>
              <w:t>抗病品种抗性机理机制、品种选育、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zCs w:val="21"/>
                <w:lang w:eastAsia="zh-CN"/>
              </w:rPr>
              <w:t>重大传染性蚕病的病原特性、流行规律、传染机制等方面进行普查评价构建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zCs w:val="21"/>
              </w:rPr>
              <w:t>数据库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zCs w:val="21"/>
                <w:lang w:eastAsia="zh-CN"/>
              </w:rPr>
              <w:t>，并在蚕病早期预警预防、中期介入防控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zCs w:val="21"/>
              </w:rPr>
              <w:t>、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zCs w:val="21"/>
                <w:lang w:eastAsia="zh-CN"/>
              </w:rPr>
              <w:t>后期隔离防病等防控技术方法与手段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zCs w:val="21"/>
              </w:rPr>
              <w:t>进行了广泛深入的合作。</w:t>
            </w:r>
          </w:p>
          <w:p>
            <w:pPr>
              <w:adjustRightInd w:val="0"/>
              <w:snapToGrid w:val="0"/>
              <w:spacing w:line="406" w:lineRule="exact"/>
              <w:ind w:firstLine="420" w:firstLineChars="200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zCs w:val="21"/>
                <w:lang w:eastAsia="zh-CN"/>
              </w:rPr>
              <w:t>其中</w:t>
            </w:r>
            <w:r>
              <w:rPr>
                <w:rFonts w:hint="eastAsia" w:cs="Times New Roman"/>
                <w:snapToGrid w:val="0"/>
                <w:color w:val="000000"/>
                <w:szCs w:val="21"/>
                <w:lang w:eastAsia="zh-CN"/>
              </w:rPr>
              <w:t>西南大学陈鹏、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zCs w:val="21"/>
                <w:lang w:eastAsia="zh-CN"/>
              </w:rPr>
              <w:t>武汉理工大学</w:t>
            </w:r>
            <w:r>
              <w:rPr>
                <w:rFonts w:hint="eastAsia" w:cs="Times New Roman"/>
                <w:snapToGrid w:val="0"/>
                <w:color w:val="000000"/>
                <w:szCs w:val="21"/>
                <w:lang w:eastAsia="zh-CN"/>
              </w:rPr>
              <w:t>刘新华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zCs w:val="21"/>
                <w:lang w:eastAsia="zh-CN"/>
              </w:rPr>
              <w:t>与课题组其他成员开展合作，形成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zCs w:val="21"/>
              </w:rPr>
              <w:t>论文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zCs w:val="21"/>
                <w:lang w:eastAsia="zh-CN"/>
              </w:rPr>
              <w:t>等知识产权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zCs w:val="21"/>
              </w:rPr>
              <w:t>。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zCs w:val="21"/>
                <w:lang w:eastAsia="zh-CN"/>
              </w:rPr>
              <w:t>主要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zCs w:val="21"/>
              </w:rPr>
              <w:t>围绕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zCs w:val="21"/>
                <w:lang w:eastAsia="zh-CN"/>
              </w:rPr>
              <w:t>广西主要蚕病的拍照识别、智能问诊等方面开展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zCs w:val="21"/>
              </w:rPr>
              <w:t>研究，以两名或以上完成人联名合作核心知识产权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zCs w:val="21"/>
              </w:rPr>
              <w:t>项，</w:t>
            </w:r>
            <w:r>
              <w:rPr>
                <w:rFonts w:hint="eastAsia" w:cs="Times New Roman"/>
                <w:snapToGrid w:val="0"/>
                <w:color w:val="000000"/>
                <w:szCs w:val="21"/>
                <w:lang w:eastAsia="zh-CN"/>
              </w:rPr>
              <w:t>其中</w:t>
            </w:r>
            <w:r>
              <w:rPr>
                <w:rFonts w:hint="eastAsia" w:cs="Times New Roman"/>
                <w:snapToGrid w:val="0"/>
                <w:color w:val="000000"/>
                <w:szCs w:val="21"/>
                <w:lang w:val="en-US" w:eastAsia="zh-CN"/>
              </w:rPr>
              <w:t>SCI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zCs w:val="21"/>
              </w:rPr>
              <w:t>论文</w:t>
            </w:r>
            <w:r>
              <w:rPr>
                <w:rFonts w:hint="eastAsia" w:cs="Times New Roman"/>
                <w:snapToGrid w:val="0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zCs w:val="21"/>
              </w:rPr>
              <w:t>篇</w:t>
            </w:r>
            <w:r>
              <w:rPr>
                <w:rFonts w:hint="eastAsia" w:cs="Times New Roman"/>
                <w:snapToGrid w:val="0"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cs="Times New Roman"/>
                <w:snapToGrid w:val="0"/>
                <w:color w:val="000000"/>
                <w:szCs w:val="21"/>
                <w:lang w:val="en-US" w:eastAsia="zh-CN"/>
              </w:rPr>
              <w:t>EI收录论文1篇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zCs w:val="21"/>
              </w:rPr>
              <w:t>，在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zCs w:val="21"/>
                <w:lang w:eastAsia="zh-CN"/>
              </w:rPr>
              <w:t>蚕病防控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zCs w:val="21"/>
              </w:rPr>
              <w:t>研究方面建立了长期、稳定的合作关系（附件1-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zCs w:val="21"/>
                <w:lang w:val="en-US" w:eastAsia="zh-CN"/>
              </w:rPr>
              <w:t>6</w:t>
            </w:r>
            <w:r>
              <w:rPr>
                <w:rFonts w:hint="eastAsia" w:cs="Times New Roman"/>
                <w:snapToGrid w:val="0"/>
                <w:color w:val="000000"/>
                <w:szCs w:val="21"/>
                <w:lang w:val="en-US" w:eastAsia="zh-CN"/>
              </w:rPr>
              <w:t>、1-7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zCs w:val="21"/>
              </w:rPr>
              <w:t>）。</w:t>
            </w:r>
          </w:p>
          <w:p>
            <w:pPr>
              <w:adjustRightInd w:val="0"/>
              <w:snapToGrid w:val="0"/>
              <w:spacing w:line="406" w:lineRule="exact"/>
              <w:ind w:firstLine="420" w:firstLineChars="200"/>
              <w:rPr>
                <w:rFonts w:hint="eastAsia" w:ascii="Times New Roman" w:hAnsi="Times New Roman" w:eastAsia="宋体" w:cs="Times New Roman"/>
                <w:snapToGrid w:val="0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zCs w:val="21"/>
                <w:lang w:val="en-US" w:eastAsia="zh-CN"/>
              </w:rPr>
              <w:t>以上合作关系情况详见附表。</w:t>
            </w:r>
          </w:p>
          <w:p>
            <w:pPr>
              <w:adjustRightInd w:val="0"/>
              <w:snapToGrid w:val="0"/>
              <w:spacing w:line="406" w:lineRule="exact"/>
              <w:rPr>
                <w:rFonts w:eastAsia="方正黑体_GBK"/>
                <w:snapToGrid w:val="0"/>
                <w:color w:val="000000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line="406" w:lineRule="exact"/>
        <w:rPr>
          <w:snapToGrid w:val="0"/>
          <w:color w:val="000000"/>
          <w:sz w:val="28"/>
          <w:szCs w:val="28"/>
        </w:rPr>
      </w:pPr>
    </w:p>
    <w:p>
      <w:pPr>
        <w:adjustRightInd w:val="0"/>
        <w:snapToGrid w:val="0"/>
        <w:spacing w:line="406" w:lineRule="exact"/>
        <w:jc w:val="center"/>
        <w:rPr>
          <w:b/>
          <w:bCs/>
          <w:snapToGrid w:val="0"/>
          <w:color w:val="000000"/>
          <w:sz w:val="28"/>
          <w:szCs w:val="28"/>
        </w:rPr>
      </w:pPr>
      <w:r>
        <w:rPr>
          <w:rFonts w:hint="eastAsia" w:eastAsia="方正黑体_GBK"/>
          <w:snapToGrid w:val="0"/>
          <w:color w:val="000000"/>
          <w:sz w:val="28"/>
          <w:szCs w:val="28"/>
        </w:rPr>
        <w:t>附表：候选个人合作情况汇总表</w:t>
      </w:r>
    </w:p>
    <w:tbl>
      <w:tblPr>
        <w:tblStyle w:val="7"/>
        <w:tblW w:w="926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1533"/>
        <w:gridCol w:w="1915"/>
        <w:gridCol w:w="1732"/>
        <w:gridCol w:w="1329"/>
        <w:gridCol w:w="1146"/>
        <w:gridCol w:w="8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序号</w:t>
            </w:r>
          </w:p>
        </w:tc>
        <w:tc>
          <w:tcPr>
            <w:tcW w:w="153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合作方式</w:t>
            </w:r>
          </w:p>
        </w:tc>
        <w:tc>
          <w:tcPr>
            <w:tcW w:w="19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合作者</w:t>
            </w:r>
          </w:p>
        </w:tc>
        <w:tc>
          <w:tcPr>
            <w:tcW w:w="173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合作时间</w:t>
            </w:r>
          </w:p>
        </w:tc>
        <w:tc>
          <w:tcPr>
            <w:tcW w:w="132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合作成果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附件编号</w:t>
            </w:r>
          </w:p>
        </w:tc>
        <w:tc>
          <w:tcPr>
            <w:tcW w:w="85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黑体_GBK" w:cs="Times New Roman"/>
                <w:snapToGrid w:val="0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方正黑体_GBK" w:cs="Times New Roman"/>
                <w:snapToGrid w:val="0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153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000000"/>
                <w:szCs w:val="21"/>
              </w:rPr>
            </w:pPr>
            <w:r>
              <w:rPr>
                <w:rFonts w:hint="default" w:ascii="Times New Roman" w:hAnsi="Times New Roman" w:eastAsia="方正黑体_GBK" w:cs="Times New Roman"/>
                <w:snapToGrid w:val="0"/>
                <w:color w:val="000000"/>
                <w:szCs w:val="21"/>
                <w:lang w:val="en-US" w:eastAsia="zh-CN"/>
              </w:rPr>
              <w:t>合作撰写论文</w:t>
            </w:r>
          </w:p>
        </w:tc>
        <w:tc>
          <w:tcPr>
            <w:tcW w:w="19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000000"/>
                <w:szCs w:val="21"/>
              </w:rPr>
            </w:pPr>
            <w:r>
              <w:rPr>
                <w:rFonts w:hint="eastAsia" w:eastAsia="方正黑体_GBK" w:cs="Times New Roman"/>
                <w:snapToGrid w:val="0"/>
                <w:color w:val="000000"/>
                <w:szCs w:val="21"/>
                <w:lang w:val="en-US" w:eastAsia="zh-CN"/>
              </w:rPr>
              <w:t>陈鹏</w:t>
            </w:r>
            <w:r>
              <w:rPr>
                <w:rFonts w:hint="default" w:ascii="Times New Roman" w:hAnsi="Times New Roman" w:eastAsia="方正黑体_GBK" w:cs="Times New Roman"/>
                <w:snapToGrid w:val="0"/>
                <w:color w:val="000000"/>
                <w:szCs w:val="21"/>
                <w:lang w:val="en-US" w:eastAsia="zh-CN"/>
              </w:rPr>
              <w:t>,唐亮</w:t>
            </w:r>
          </w:p>
        </w:tc>
        <w:tc>
          <w:tcPr>
            <w:tcW w:w="173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hAnsi="Times New Roman" w:eastAsia="方正黑体_GBK" w:cs="Times New Roman"/>
                <w:snapToGrid w:val="0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黑体_GBK" w:cs="Times New Roman"/>
                <w:snapToGrid w:val="0"/>
                <w:color w:val="000000"/>
                <w:szCs w:val="21"/>
                <w:lang w:val="en-US" w:eastAsia="zh-CN"/>
              </w:rPr>
              <w:t>201</w:t>
            </w:r>
            <w:r>
              <w:rPr>
                <w:rFonts w:hint="eastAsia" w:eastAsia="方正黑体_GBK" w:cs="Times New Roman"/>
                <w:snapToGrid w:val="0"/>
                <w:color w:val="000000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方正黑体_GBK" w:cs="Times New Roman"/>
                <w:snapToGrid w:val="0"/>
                <w:color w:val="000000"/>
                <w:szCs w:val="21"/>
                <w:lang w:val="en-US" w:eastAsia="zh-CN"/>
              </w:rPr>
              <w:t>-0</w:t>
            </w:r>
            <w:r>
              <w:rPr>
                <w:rFonts w:hint="eastAsia" w:eastAsia="方正黑体_GBK" w:cs="Times New Roman"/>
                <w:snapToGrid w:val="0"/>
                <w:color w:val="000000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方正黑体_GBK" w:cs="Times New Roman"/>
                <w:snapToGrid w:val="0"/>
                <w:color w:val="000000"/>
                <w:szCs w:val="21"/>
                <w:lang w:val="en-US" w:eastAsia="zh-CN"/>
              </w:rPr>
              <w:t>-</w:t>
            </w:r>
            <w:r>
              <w:rPr>
                <w:rFonts w:hint="eastAsia" w:eastAsia="方正黑体_GBK" w:cs="Times New Roman"/>
                <w:snapToGrid w:val="0"/>
                <w:color w:val="000000"/>
                <w:szCs w:val="21"/>
                <w:lang w:val="en-US" w:eastAsia="zh-CN"/>
              </w:rPr>
              <w:t>25</w:t>
            </w:r>
            <w:r>
              <w:rPr>
                <w:rFonts w:hint="default" w:ascii="Times New Roman" w:hAnsi="Times New Roman" w:eastAsia="方正黑体_GBK" w:cs="Times New Roman"/>
                <w:snapToGrid w:val="0"/>
                <w:color w:val="000000"/>
                <w:szCs w:val="21"/>
                <w:lang w:val="en-US" w:eastAsia="zh-CN"/>
              </w:rPr>
              <w:t>~</w:t>
            </w:r>
            <w:r>
              <w:rPr>
                <w:rFonts w:hint="eastAsia" w:eastAsia="方正黑体_GBK" w:cs="Times New Roman"/>
                <w:snapToGrid w:val="0"/>
                <w:color w:val="000000"/>
                <w:szCs w:val="21"/>
                <w:lang w:val="en-US" w:eastAsia="zh-CN"/>
              </w:rPr>
              <w:t>至今</w:t>
            </w:r>
          </w:p>
        </w:tc>
        <w:tc>
          <w:tcPr>
            <w:tcW w:w="132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000000"/>
                <w:szCs w:val="21"/>
              </w:rPr>
            </w:pPr>
            <w:r>
              <w:rPr>
                <w:rFonts w:hint="eastAsia" w:eastAsia="方正黑体_GBK" w:cs="Times New Roman"/>
                <w:snapToGrid w:val="0"/>
                <w:color w:val="000000"/>
                <w:szCs w:val="21"/>
                <w:lang w:val="en-US" w:eastAsia="zh-CN"/>
              </w:rPr>
              <w:t>SCI</w:t>
            </w:r>
            <w:r>
              <w:rPr>
                <w:rFonts w:hint="default" w:ascii="Times New Roman" w:hAnsi="Times New Roman" w:eastAsia="方正黑体_GBK" w:cs="Times New Roman"/>
                <w:snapToGrid w:val="0"/>
                <w:color w:val="000000"/>
                <w:szCs w:val="21"/>
                <w:lang w:val="en-US" w:eastAsia="zh-CN"/>
              </w:rPr>
              <w:t>论文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000000"/>
                <w:szCs w:val="21"/>
              </w:rPr>
            </w:pPr>
            <w:r>
              <w:rPr>
                <w:rFonts w:hint="default" w:ascii="Times New Roman" w:hAnsi="Times New Roman" w:eastAsia="方正黑体_GBK" w:cs="Times New Roman"/>
                <w:snapToGrid w:val="0"/>
                <w:color w:val="000000"/>
                <w:szCs w:val="21"/>
                <w:lang w:val="en-US" w:eastAsia="zh-CN"/>
              </w:rPr>
              <w:t>1-6</w:t>
            </w:r>
          </w:p>
        </w:tc>
        <w:tc>
          <w:tcPr>
            <w:tcW w:w="85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黑体_GBK" w:cs="Times New Roman"/>
                <w:snapToGrid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方正黑体_GBK" w:cs="Times New Roman"/>
                <w:snapToGrid w:val="0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53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hAnsi="Times New Roman" w:eastAsia="方正黑体_GBK" w:cs="Times New Roman"/>
                <w:snapToGrid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黑体_GBK" w:cs="Times New Roman"/>
                <w:snapToGrid w:val="0"/>
                <w:color w:val="000000"/>
                <w:szCs w:val="21"/>
                <w:lang w:val="en-US" w:eastAsia="zh-CN"/>
              </w:rPr>
              <w:t>合作撰写论文</w:t>
            </w:r>
          </w:p>
        </w:tc>
        <w:tc>
          <w:tcPr>
            <w:tcW w:w="19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hAnsi="Times New Roman" w:eastAsia="方正黑体_GBK" w:cs="Times New Roman"/>
                <w:snapToGrid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黑体_GBK" w:cs="Times New Roman"/>
                <w:snapToGrid w:val="0"/>
                <w:color w:val="000000"/>
                <w:szCs w:val="21"/>
                <w:lang w:val="en-US" w:eastAsia="zh-CN"/>
              </w:rPr>
              <w:t>唐亮,</w:t>
            </w:r>
            <w:r>
              <w:rPr>
                <w:rFonts w:hint="eastAsia" w:eastAsia="方正黑体_GBK" w:cs="Times New Roman"/>
                <w:snapToGrid w:val="0"/>
                <w:color w:val="000000"/>
                <w:szCs w:val="21"/>
                <w:lang w:val="en-US" w:eastAsia="zh-CN"/>
              </w:rPr>
              <w:t>刘新华</w:t>
            </w:r>
          </w:p>
        </w:tc>
        <w:tc>
          <w:tcPr>
            <w:tcW w:w="173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hAnsi="Times New Roman" w:eastAsia="方正黑体_GBK" w:cs="Times New Roman"/>
                <w:snapToGrid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黑体_GBK" w:cs="Times New Roman"/>
                <w:snapToGrid w:val="0"/>
                <w:color w:val="000000"/>
                <w:szCs w:val="21"/>
                <w:lang w:val="en-US" w:eastAsia="zh-CN"/>
              </w:rPr>
              <w:t>201</w:t>
            </w:r>
            <w:r>
              <w:rPr>
                <w:rFonts w:hint="eastAsia" w:ascii="Times New Roman" w:hAnsi="Times New Roman" w:eastAsia="方正黑体_GBK" w:cs="Times New Roman"/>
                <w:snapToGrid w:val="0"/>
                <w:color w:val="000000"/>
                <w:szCs w:val="21"/>
                <w:lang w:val="en-US" w:eastAsia="zh-CN"/>
              </w:rPr>
              <w:t>9</w:t>
            </w:r>
            <w:r>
              <w:rPr>
                <w:rFonts w:hint="default" w:ascii="Times New Roman" w:hAnsi="Times New Roman" w:eastAsia="方正黑体_GBK" w:cs="Times New Roman"/>
                <w:snapToGrid w:val="0"/>
                <w:color w:val="000000"/>
                <w:szCs w:val="21"/>
                <w:lang w:val="en-US" w:eastAsia="zh-CN"/>
              </w:rPr>
              <w:t>-09-01~</w:t>
            </w:r>
            <w:r>
              <w:rPr>
                <w:rFonts w:hint="eastAsia" w:eastAsia="方正黑体_GBK" w:cs="Times New Roman"/>
                <w:snapToGrid w:val="0"/>
                <w:color w:val="000000"/>
                <w:szCs w:val="21"/>
                <w:lang w:val="en-US" w:eastAsia="zh-CN"/>
              </w:rPr>
              <w:t>至今</w:t>
            </w:r>
          </w:p>
        </w:tc>
        <w:tc>
          <w:tcPr>
            <w:tcW w:w="132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hAnsi="Times New Roman" w:eastAsia="方正黑体_GBK" w:cs="Times New Roman"/>
                <w:snapToGrid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黑体_GBK" w:cs="Times New Roman"/>
                <w:snapToGrid w:val="0"/>
                <w:color w:val="000000"/>
                <w:szCs w:val="21"/>
                <w:lang w:val="en-US" w:eastAsia="zh-CN"/>
              </w:rPr>
              <w:t>EI收录论文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hAnsi="Times New Roman" w:eastAsia="方正黑体_GBK" w:cs="Times New Roman"/>
                <w:snapToGrid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黑体_GBK" w:cs="Times New Roman"/>
                <w:snapToGrid w:val="0"/>
                <w:color w:val="000000"/>
                <w:szCs w:val="21"/>
                <w:lang w:val="en-US" w:eastAsia="zh-CN"/>
              </w:rPr>
              <w:t>1-</w:t>
            </w:r>
            <w:r>
              <w:rPr>
                <w:rFonts w:hint="eastAsia" w:eastAsia="方正黑体_GBK" w:cs="Times New Roman"/>
                <w:snapToGrid w:val="0"/>
                <w:color w:val="000000"/>
                <w:szCs w:val="21"/>
                <w:lang w:val="en-US" w:eastAsia="zh-CN"/>
              </w:rPr>
              <w:t>7</w:t>
            </w:r>
          </w:p>
        </w:tc>
        <w:tc>
          <w:tcPr>
            <w:tcW w:w="85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10"/>
      </w:pPr>
    </w:p>
    <w:sectPr>
      <w:pgSz w:w="11906" w:h="16838"/>
      <w:pgMar w:top="1417" w:right="1531" w:bottom="1417" w:left="1531" w:header="851" w:footer="1417" w:gutter="0"/>
      <w:pgNumType w:fmt="numberInDash"/>
      <w:cols w:space="72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haris SIL">
    <w:altName w:val="宋体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ViNzBjYzc3M2RlZjVkYTEzZDFjNzg0ZTczMDE5ZDcifQ=="/>
    <w:docVar w:name="KSO_WPS_MARK_KEY" w:val="4aec0cdc-ba43-435f-8eb2-8c9acc5259b7"/>
  </w:docVars>
  <w:rsids>
    <w:rsidRoot w:val="00172A27"/>
    <w:rsid w:val="0048501C"/>
    <w:rsid w:val="00FB0B1F"/>
    <w:rsid w:val="00FD0F8B"/>
    <w:rsid w:val="0AFD7B34"/>
    <w:rsid w:val="0CC8630E"/>
    <w:rsid w:val="156147C5"/>
    <w:rsid w:val="1EB00B3C"/>
    <w:rsid w:val="22B0255D"/>
    <w:rsid w:val="241F02D3"/>
    <w:rsid w:val="3A313B4F"/>
    <w:rsid w:val="43DA1533"/>
    <w:rsid w:val="47617B01"/>
    <w:rsid w:val="50FE4717"/>
    <w:rsid w:val="59647774"/>
    <w:rsid w:val="5BE93EEE"/>
    <w:rsid w:val="5F992EC9"/>
    <w:rsid w:val="665B5B57"/>
    <w:rsid w:val="71716C15"/>
    <w:rsid w:val="717A4B9A"/>
    <w:rsid w:val="71B5486F"/>
    <w:rsid w:val="73BC66FB"/>
    <w:rsid w:val="77792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3"/>
    <w:next w:val="3"/>
    <w:qFormat/>
    <w:uiPriority w:val="0"/>
    <w:pPr>
      <w:keepNext/>
      <w:keepLines/>
      <w:spacing w:line="560" w:lineRule="exact"/>
    </w:pPr>
    <w:rPr>
      <w:rFonts w:eastAsia="方正小标宋简体"/>
      <w:b w:val="0"/>
      <w:kern w:val="44"/>
      <w:sz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styleId="4">
    <w:name w:val="Body Text"/>
    <w:basedOn w:val="1"/>
    <w:unhideWhenUsed/>
    <w:qFormat/>
    <w:uiPriority w:val="99"/>
    <w:pPr>
      <w:jc w:val="center"/>
    </w:pPr>
    <w:rPr>
      <w:sz w:val="44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样式1"/>
    <w:basedOn w:val="1"/>
    <w:qFormat/>
    <w:uiPriority w:val="0"/>
    <w:pPr>
      <w:spacing w:line="540" w:lineRule="exact"/>
    </w:pPr>
    <w:rPr>
      <w:rFonts w:eastAsia="仿宋_GB2312"/>
      <w:sz w:val="32"/>
    </w:rPr>
  </w:style>
  <w:style w:type="paragraph" w:customStyle="1" w:styleId="11">
    <w:name w:val="大标题"/>
    <w:basedOn w:val="3"/>
    <w:next w:val="3"/>
    <w:qFormat/>
    <w:uiPriority w:val="0"/>
    <w:rPr>
      <w:rFonts w:eastAsia="方正小标宋简体" w:asciiTheme="minorHAnsi" w:hAnsiTheme="minorHAnsi"/>
      <w:b w:val="0"/>
    </w:rPr>
  </w:style>
  <w:style w:type="character" w:customStyle="1" w:styleId="12">
    <w:name w:val="17"/>
    <w:basedOn w:val="9"/>
    <w:qFormat/>
    <w:uiPriority w:val="0"/>
    <w:rPr>
      <w:rFonts w:hint="eastAsia" w:ascii="仿宋_GB2312" w:eastAsia="仿宋_GB2312"/>
      <w:b/>
      <w:bCs/>
      <w:kern w:val="44"/>
      <w:sz w:val="44"/>
      <w:szCs w:val="44"/>
    </w:rPr>
  </w:style>
  <w:style w:type="character" w:customStyle="1" w:styleId="13">
    <w:name w:val="font0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4">
    <w:name w:val="font1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paragraph" w:customStyle="1" w:styleId="15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Charis SIL" w:hAnsi="Charis SIL" w:eastAsia="Charis SIL" w:cs="Times New Roman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2411</Words>
  <Characters>3372</Characters>
  <Lines>5</Lines>
  <Paragraphs>1</Paragraphs>
  <TotalTime>0</TotalTime>
  <ScaleCrop>false</ScaleCrop>
  <LinksUpToDate>false</LinksUpToDate>
  <CharactersWithSpaces>3515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2023-07-25T08:53:00Z</dcterms:created>
  <dc:creator>lenovo</dc:creator>
  <cp:lastModifiedBy>liam</cp:lastModifiedBy>
  <cp:lastPrinted>2024-06-06T07:16:00Z</cp:lastPrinted>
  <dcterms:modified xsi:type="dcterms:W3CDTF">2024-06-18T01:06:11Z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386DA3EF7E6E41C38371DD73DCF9BB8A_13</vt:lpwstr>
  </property>
</Properties>
</file>