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r>
        <w:rPr>
          <w:rFonts w:hint="eastAsia" w:ascii="方正小标宋简体" w:eastAsia="方正小标宋简体"/>
          <w:sz w:val="44"/>
          <w:szCs w:val="44"/>
          <w:lang w:eastAsia="zh-CN"/>
        </w:rPr>
        <w:t>那坡</w:t>
      </w:r>
      <w:r>
        <w:rPr>
          <w:rFonts w:hint="eastAsia" w:ascii="方正小标宋简体" w:eastAsia="方正小标宋简体"/>
          <w:sz w:val="44"/>
          <w:szCs w:val="44"/>
        </w:rPr>
        <w:t>县涉农补贴领域基层政务公开标准目录</w:t>
      </w:r>
      <w:bookmarkEnd w:id="0"/>
    </w:p>
    <w:tbl>
      <w:tblPr>
        <w:tblStyle w:val="5"/>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http://www.napo.gov.cn/zdlyxx/qtzdxx/wmbss/t5305509.shtml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未公布</w:t>
            </w:r>
            <w:bookmarkStart w:id="1" w:name="_GoBack"/>
            <w:bookmarkEnd w:id="1"/>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未公布</w:t>
            </w: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未公布</w:t>
            </w: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rPr>
              <w:t>http://www.napo.gov.cn/npyw/tzgg/t7216008.shtml）</w:t>
            </w:r>
            <w:r>
              <w:rPr>
                <w:rFonts w:hint="eastAsia" w:ascii="仿宋_GB2312" w:hAnsi="宋体" w:eastAsia="仿宋_GB2312"/>
                <w:sz w:val="18"/>
                <w:szCs w:val="18"/>
                <w:lang w:eastAsia="zh-CN"/>
              </w:rPr>
              <w:t>、http://www.napo.gov.cn/npyw/tzgg/t7025485.shtml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17D3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uiPriority w:val="0"/>
    <w:rPr>
      <w:rFonts w:ascii="Calibri" w:hAnsi="Calibri" w:eastAsia="宋体" w:cs="Times New Roman"/>
      <w:b/>
      <w:bCs/>
      <w:kern w:val="44"/>
      <w:sz w:val="44"/>
      <w:szCs w:val="44"/>
    </w:rPr>
  </w:style>
  <w:style w:type="character" w:customStyle="1" w:styleId="8">
    <w:name w:val="页眉 Char"/>
    <w:basedOn w:val="6"/>
    <w:link w:val="4"/>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26</TotalTime>
  <ScaleCrop>false</ScaleCrop>
  <LinksUpToDate>false</LinksUpToDate>
  <CharactersWithSpaces>1300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已定义</cp:lastModifiedBy>
  <dcterms:modified xsi:type="dcterms:W3CDTF">2020-12-10T04:11:09Z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