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bookmarkStart w:id="0" w:name="_Toc24724722"/>
      <w:r>
        <w:rPr>
          <w:rFonts w:hint="eastAsia" w:ascii="黑体" w:hAnsi="黑体" w:eastAsia="黑体"/>
          <w:sz w:val="32"/>
          <w:szCs w:val="32"/>
        </w:rPr>
        <w:t>附件2</w:t>
      </w:r>
    </w:p>
    <w:p>
      <w:pPr>
        <w:jc w:val="center"/>
        <w:rPr>
          <w:rFonts w:hint="eastAsia" w:ascii="方正小标宋简体" w:eastAsia="方正小标宋简体"/>
          <w:sz w:val="44"/>
          <w:szCs w:val="44"/>
        </w:rPr>
      </w:pPr>
      <w:r>
        <w:rPr>
          <w:rFonts w:hint="eastAsia" w:ascii="方正小标宋简体" w:eastAsia="方正小标宋简体"/>
          <w:sz w:val="44"/>
          <w:szCs w:val="44"/>
        </w:rPr>
        <w:t xml:space="preserve"> XX县涉农补贴领域基层政务公开标准目录</w:t>
      </w:r>
      <w:bookmarkEnd w:id="0"/>
    </w:p>
    <w:tbl>
      <w:tblPr>
        <w:tblStyle w:val="5"/>
        <w:tblW w:w="15300" w:type="dxa"/>
        <w:tblInd w:w="-664" w:type="dxa"/>
        <w:tblLayout w:type="fixed"/>
        <w:tblCellMar>
          <w:top w:w="0" w:type="dxa"/>
          <w:left w:w="108" w:type="dxa"/>
          <w:bottom w:w="0" w:type="dxa"/>
          <w:right w:w="108" w:type="dxa"/>
        </w:tblCellMar>
      </w:tblPr>
      <w:tblGrid>
        <w:gridCol w:w="540"/>
        <w:gridCol w:w="720"/>
        <w:gridCol w:w="900"/>
        <w:gridCol w:w="2340"/>
        <w:gridCol w:w="2880"/>
        <w:gridCol w:w="1260"/>
        <w:gridCol w:w="1260"/>
        <w:gridCol w:w="1440"/>
        <w:gridCol w:w="720"/>
        <w:gridCol w:w="709"/>
        <w:gridCol w:w="11"/>
        <w:gridCol w:w="540"/>
        <w:gridCol w:w="720"/>
        <w:gridCol w:w="720"/>
        <w:gridCol w:w="540"/>
      </w:tblGrid>
      <w:tr>
        <w:tblPrEx>
          <w:tblCellMar>
            <w:top w:w="0" w:type="dxa"/>
            <w:left w:w="108" w:type="dxa"/>
            <w:bottom w:w="0" w:type="dxa"/>
            <w:right w:w="108" w:type="dxa"/>
          </w:tblCellMar>
        </w:tblPrEx>
        <w:trPr>
          <w:cantSplit/>
        </w:trPr>
        <w:tc>
          <w:tcPr>
            <w:tcW w:w="5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Times New Roman" w:eastAsia="黑体"/>
                <w:color w:val="000000"/>
                <w:kern w:val="0"/>
                <w:sz w:val="22"/>
              </w:rPr>
            </w:pPr>
            <w:r>
              <w:rPr>
                <w:rFonts w:hint="eastAsia" w:ascii="黑体" w:hAnsi="宋体" w:eastAsia="黑体"/>
                <w:color w:val="000000"/>
                <w:kern w:val="0"/>
                <w:sz w:val="22"/>
              </w:rPr>
              <w:t>序号</w:t>
            </w:r>
          </w:p>
        </w:tc>
        <w:tc>
          <w:tcPr>
            <w:tcW w:w="162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8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2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公开渠道和载体</w:t>
            </w:r>
          </w:p>
        </w:tc>
        <w:tc>
          <w:tcPr>
            <w:tcW w:w="1429"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1271"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12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CellMar>
            <w:top w:w="0" w:type="dxa"/>
            <w:left w:w="108" w:type="dxa"/>
            <w:bottom w:w="0" w:type="dxa"/>
            <w:right w:w="108" w:type="dxa"/>
          </w:tblCellMar>
        </w:tblPrEx>
        <w:trPr>
          <w:cantSplit/>
        </w:trPr>
        <w:tc>
          <w:tcPr>
            <w:tcW w:w="5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Times New Roman" w:eastAsia="黑体"/>
                <w:color w:val="000000"/>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90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28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2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color w:val="000000"/>
                <w:kern w:val="0"/>
                <w:sz w:val="22"/>
              </w:rPr>
            </w:pPr>
          </w:p>
        </w:tc>
        <w:tc>
          <w:tcPr>
            <w:tcW w:w="14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黑体" w:hAnsi="宋体" w:eastAsia="黑体" w:cs="宋体"/>
                <w:kern w:val="0"/>
                <w:sz w:val="22"/>
              </w:rPr>
            </w:pP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540" w:type="dxa"/>
            <w:tcBorders>
              <w:top w:val="nil"/>
              <w:left w:val="nil"/>
              <w:bottom w:val="single" w:color="auto" w:sz="4" w:space="0"/>
              <w:right w:val="single" w:color="auto" w:sz="4" w:space="0"/>
            </w:tcBorders>
            <w:shd w:val="clear" w:color="auto" w:fill="auto"/>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乡级</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农机购置补贴</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《农业机械化促进法》、《农业生产发展资金管理办法》、《2018-2020年农机购置补贴实施指导意见》</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（详细网址）http://bslye.zwfw.gxzf.gov.cn/art/2020/7/13/art_3329_15360562.html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2</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jc w:val="center"/>
              <w:rPr>
                <w:rFonts w:ascii="仿宋_GB2312" w:hAnsi="Times New Roman" w:eastAsia="仿宋_GB2312"/>
                <w:sz w:val="18"/>
                <w:szCs w:val="18"/>
              </w:rPr>
            </w:pPr>
            <w:r>
              <w:rPr>
                <w:rFonts w:hint="eastAsia" w:ascii="仿宋_GB2312" w:hAnsi="Times New Roman" w:eastAsia="仿宋_GB2312"/>
                <w:sz w:val="18"/>
                <w:szCs w:val="18"/>
              </w:rPr>
              <w:t>耕地地力保护</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《农业生产发展资金管理办法》、《财政部 农业部关于全面推开农业“三项补贴”改革工作的通知》</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（详细网址）http://www.leye.gov.cn/xxgk/jczwgkbzhgfhgz/sdlybzml/t7177269.shtml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3</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新型职业农民培育</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关于引导农村土地经营权有序流转发展农业适度规模经营的意见》、《关于支持返乡下乡人员创业创新促进农村一二三产业融合发展的意见》、《农业生产发展资金管理办法》、《“十三五”全国新型职业农民培育发展规划》</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（详细网址）http://www.leye.gov.cn/zwdt/t6965061.shtml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4</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农业生产发展资金</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支持新型农业经营主体</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rPr>
                <w:rFonts w:ascii="仿宋_GB2312" w:hAnsi="Times New Roman" w:eastAsia="仿宋_GB2312"/>
                <w:sz w:val="18"/>
                <w:szCs w:val="18"/>
              </w:rPr>
            </w:pPr>
            <w:r>
              <w:rPr>
                <w:rFonts w:hint="eastAsia" w:ascii="仿宋_GB2312" w:hAnsi="Times New Roman" w:eastAsia="仿宋_GB2312"/>
                <w:sz w:val="18"/>
                <w:szCs w:val="18"/>
              </w:rPr>
              <w:t>《农业生产发展资金管理办法》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（详细网址）http://www.leye.gov.cn/xxgk/jczwgkbzhgfhgz/sdlybzml/t7177269.shtml</w:t>
            </w:r>
            <w:bookmarkStart w:id="1" w:name="_GoBack"/>
            <w:bookmarkEnd w:id="1"/>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CellMar>
            <w:top w:w="0" w:type="dxa"/>
            <w:left w:w="108" w:type="dxa"/>
            <w:bottom w:w="0" w:type="dxa"/>
            <w:right w:w="108" w:type="dxa"/>
          </w:tblCellMar>
        </w:tblPrEx>
        <w:trPr>
          <w:cantSplit/>
        </w:trPr>
        <w:tc>
          <w:tcPr>
            <w:tcW w:w="540" w:type="dxa"/>
            <w:tcBorders>
              <w:top w:val="single" w:color="auto" w:sz="4" w:space="0"/>
              <w:left w:val="single" w:color="auto" w:sz="4" w:space="0"/>
              <w:bottom w:val="single" w:color="000000" w:sz="4" w:space="0"/>
              <w:right w:val="single" w:color="auto" w:sz="4" w:space="0"/>
            </w:tcBorders>
            <w:shd w:val="clear" w:color="auto" w:fill="auto"/>
            <w:noWrap/>
            <w:vAlign w:val="center"/>
          </w:tcPr>
          <w:p>
            <w:pPr>
              <w:jc w:val="center"/>
              <w:rPr>
                <w:rFonts w:ascii="仿宋_GB2312" w:hAnsi="宋体" w:eastAsia="仿宋_GB2312"/>
                <w:color w:val="000000"/>
                <w:sz w:val="18"/>
                <w:szCs w:val="18"/>
              </w:rPr>
            </w:pPr>
            <w:r>
              <w:rPr>
                <w:rFonts w:hint="eastAsia" w:ascii="仿宋_GB2312" w:hAnsi="宋体" w:eastAsia="仿宋_GB2312"/>
                <w:color w:val="000000"/>
                <w:sz w:val="18"/>
                <w:szCs w:val="18"/>
              </w:rPr>
              <w:t>5</w:t>
            </w:r>
          </w:p>
        </w:tc>
        <w:tc>
          <w:tcPr>
            <w:tcW w:w="720" w:type="dxa"/>
            <w:tcBorders>
              <w:top w:val="single" w:color="auto" w:sz="4" w:space="0"/>
              <w:left w:val="single" w:color="auto" w:sz="4" w:space="0"/>
              <w:bottom w:val="single" w:color="auto" w:sz="4" w:space="0"/>
              <w:right w:val="single" w:color="auto" w:sz="4" w:space="0"/>
            </w:tcBorders>
            <w:shd w:val="clear" w:color="auto" w:fill="auto"/>
            <w:vAlign w:val="center"/>
          </w:tcPr>
          <w:p>
            <w:pPr>
              <w:spacing w:line="240" w:lineRule="exact"/>
              <w:jc w:val="center"/>
              <w:rPr>
                <w:rFonts w:ascii="仿宋_GB2312" w:hAnsi="宋体" w:eastAsia="仿宋_GB2312"/>
                <w:sz w:val="18"/>
                <w:szCs w:val="18"/>
              </w:rPr>
            </w:pPr>
            <w:r>
              <w:rPr>
                <w:rFonts w:hint="eastAsia" w:ascii="仿宋_GB2312" w:hAnsi="宋体" w:eastAsia="仿宋_GB2312"/>
                <w:sz w:val="18"/>
                <w:szCs w:val="18"/>
              </w:rPr>
              <w:t>动物防疫等补助经费</w:t>
            </w:r>
          </w:p>
        </w:tc>
        <w:tc>
          <w:tcPr>
            <w:tcW w:w="900" w:type="dxa"/>
            <w:tcBorders>
              <w:top w:val="single" w:color="auto" w:sz="4" w:space="0"/>
              <w:left w:val="nil"/>
              <w:bottom w:val="single" w:color="auto" w:sz="4" w:space="0"/>
              <w:right w:val="single" w:color="auto" w:sz="4" w:space="0"/>
            </w:tcBorders>
            <w:shd w:val="clear" w:color="auto" w:fill="auto"/>
            <w:vAlign w:val="center"/>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强制扑杀、强制免疫和养殖环节无害化处理补助</w:t>
            </w:r>
          </w:p>
        </w:tc>
        <w:tc>
          <w:tcPr>
            <w:tcW w:w="234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政策依据；</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申请指南：包括补贴对象、补贴范围、补贴标准、申请程序、申请材料、咨询电话、受理单位、办理时限、联系方式等；</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补贴结果；</w:t>
            </w:r>
          </w:p>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监督渠道：包括举报电话、地址等。</w:t>
            </w:r>
          </w:p>
        </w:tc>
        <w:tc>
          <w:tcPr>
            <w:tcW w:w="2880" w:type="dxa"/>
            <w:tcBorders>
              <w:top w:val="single" w:color="auto" w:sz="4" w:space="0"/>
              <w:left w:val="nil"/>
              <w:bottom w:val="single" w:color="auto" w:sz="4" w:space="0"/>
              <w:right w:val="single" w:color="auto" w:sz="4" w:space="0"/>
            </w:tcBorders>
            <w:shd w:val="clear" w:color="auto" w:fill="auto"/>
          </w:tcPr>
          <w:p>
            <w:pPr>
              <w:jc w:val="left"/>
              <w:rPr>
                <w:rFonts w:ascii="仿宋_GB2312" w:hAnsi="Times New Roman" w:eastAsia="仿宋_GB2312"/>
                <w:sz w:val="18"/>
                <w:szCs w:val="18"/>
              </w:rPr>
            </w:pPr>
            <w:r>
              <w:rPr>
                <w:rFonts w:hint="eastAsia" w:ascii="仿宋_GB2312" w:hAnsi="Times New Roman" w:eastAsia="仿宋_GB2312"/>
                <w:sz w:val="18"/>
                <w:szCs w:val="18"/>
              </w:rPr>
              <w:t>《动物防疫法》、《动物防疫等补助经费管理办法》</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信息形成或者变更之日起20个工作日内。法律、法规对政府信息公开的期限另有规定的，从其规定。</w:t>
            </w:r>
          </w:p>
        </w:tc>
        <w:tc>
          <w:tcPr>
            <w:tcW w:w="1260" w:type="dxa"/>
            <w:tcBorders>
              <w:top w:val="single" w:color="auto" w:sz="4" w:space="0"/>
              <w:left w:val="nil"/>
              <w:bottom w:val="single" w:color="auto" w:sz="4" w:space="0"/>
              <w:right w:val="single" w:color="auto" w:sz="4" w:space="0"/>
            </w:tcBorders>
            <w:shd w:val="clear" w:color="auto" w:fill="auto"/>
          </w:tcPr>
          <w:p>
            <w:pPr>
              <w:spacing w:line="240" w:lineRule="exact"/>
              <w:rPr>
                <w:rFonts w:ascii="仿宋_GB2312" w:hAnsi="Times New Roman" w:eastAsia="仿宋_GB2312"/>
                <w:sz w:val="18"/>
                <w:szCs w:val="18"/>
              </w:rPr>
            </w:pPr>
            <w:r>
              <w:rPr>
                <w:rFonts w:hint="eastAsia" w:ascii="仿宋_GB2312" w:hAnsi="Times New Roman" w:eastAsia="仿宋_GB2312"/>
                <w:sz w:val="18"/>
                <w:szCs w:val="18"/>
              </w:rPr>
              <w:t>县级农业农村部门</w:t>
            </w:r>
          </w:p>
          <w:p>
            <w:pPr>
              <w:spacing w:line="240" w:lineRule="exact"/>
              <w:rPr>
                <w:rFonts w:ascii="仿宋_GB2312" w:hAnsi="Times New Roman" w:eastAsia="仿宋_GB2312"/>
                <w:sz w:val="18"/>
                <w:szCs w:val="18"/>
              </w:rPr>
            </w:pPr>
          </w:p>
        </w:tc>
        <w:tc>
          <w:tcPr>
            <w:tcW w:w="1440" w:type="dxa"/>
            <w:tcBorders>
              <w:top w:val="single" w:color="auto" w:sz="4" w:space="0"/>
              <w:left w:val="nil"/>
              <w:bottom w:val="single" w:color="auto" w:sz="4" w:space="0"/>
              <w:right w:val="single" w:color="auto" w:sz="4" w:space="0"/>
            </w:tcBorders>
            <w:shd w:val="clear" w:color="auto" w:fill="auto"/>
          </w:tcPr>
          <w:p>
            <w:pPr>
              <w:spacing w:line="240" w:lineRule="exact"/>
              <w:jc w:val="left"/>
              <w:rPr>
                <w:rFonts w:ascii="仿宋_GB2312" w:hAnsi="宋体" w:eastAsia="仿宋_GB2312"/>
                <w:sz w:val="18"/>
                <w:szCs w:val="18"/>
              </w:rPr>
            </w:pPr>
            <w:r>
              <w:rPr>
                <w:rFonts w:hint="eastAsia" w:ascii="仿宋_GB2312" w:hAnsi="宋体" w:eastAsia="仿宋_GB2312"/>
                <w:sz w:val="18"/>
                <w:szCs w:val="18"/>
              </w:rPr>
              <w:t xml:space="preserve">■政府网站 </w:t>
            </w:r>
          </w:p>
          <w:p>
            <w:pPr>
              <w:spacing w:line="240" w:lineRule="exact"/>
              <w:jc w:val="left"/>
              <w:rPr>
                <w:rFonts w:ascii="仿宋_GB2312" w:hAnsi="宋体" w:eastAsia="仿宋_GB2312"/>
                <w:sz w:val="18"/>
                <w:szCs w:val="18"/>
              </w:rPr>
            </w:pPr>
            <w:r>
              <w:rPr>
                <w:rFonts w:hint="eastAsia" w:ascii="仿宋_GB2312" w:hAnsi="宋体" w:eastAsia="仿宋_GB2312"/>
                <w:sz w:val="18"/>
                <w:szCs w:val="18"/>
              </w:rPr>
              <w:t>（详细网址）http://www.leye.gov.cn/xxgk/xzzf/t5309082.shtml</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0350F47C-F9F2-4660-8523-F5288364E3F2}"/>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B1B52B4C-576D-4578-BD89-57AB24B36C96}"/>
  </w:font>
  <w:font w:name="方正小标宋简体">
    <w:panose1 w:val="02000000000000000000"/>
    <w:charset w:val="86"/>
    <w:family w:val="script"/>
    <w:pitch w:val="default"/>
    <w:sig w:usb0="00000001" w:usb1="08000000" w:usb2="00000000" w:usb3="00000000" w:csb0="00040000" w:csb1="00000000"/>
    <w:embedRegular r:id="rId3" w:fontKey="{B3975A4F-28E2-4E74-9290-312B62F9B2C1}"/>
  </w:font>
  <w:font w:name="仿宋_GB2312">
    <w:altName w:val="仿宋"/>
    <w:panose1 w:val="02010609030101010101"/>
    <w:charset w:val="86"/>
    <w:family w:val="modern"/>
    <w:pitch w:val="default"/>
    <w:sig w:usb0="00000000" w:usb1="00000000" w:usb2="00000010" w:usb3="00000000" w:csb0="00040000" w:csb1="00000000"/>
    <w:embedRegular r:id="rId4" w:fontKey="{D501C79E-097D-4319-94E7-43C422B37E04}"/>
  </w:font>
  <w:font w:name="仿宋">
    <w:panose1 w:val="02010609060101010101"/>
    <w:charset w:val="86"/>
    <w:family w:val="modern"/>
    <w:pitch w:val="default"/>
    <w:sig w:usb0="800002BF" w:usb1="38CF7CFA" w:usb2="00000016" w:usb3="00000000" w:csb0="00040001" w:csb1="00000000"/>
    <w:embedRegular r:id="rId5" w:fontKey="{F6F86451-2AF3-4A73-ABBD-8E623C38428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3F"/>
    <w:rsid w:val="004A5179"/>
    <w:rsid w:val="004D7F2C"/>
    <w:rsid w:val="007D37FC"/>
    <w:rsid w:val="009D16A5"/>
    <w:rsid w:val="009E3A3F"/>
    <w:rsid w:val="00F83662"/>
    <w:rsid w:val="5B3E34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7"/>
    <w:qFormat/>
    <w:uiPriority w:val="0"/>
    <w:pPr>
      <w:keepNext/>
      <w:keepLines/>
      <w:spacing w:before="340" w:after="330" w:line="578" w:lineRule="auto"/>
      <w:outlineLvl w:val="0"/>
    </w:pPr>
    <w:rPr>
      <w:b/>
      <w:bCs/>
      <w:kern w:val="44"/>
      <w:sz w:val="44"/>
      <w:szCs w:val="44"/>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标题 1 Char"/>
    <w:basedOn w:val="6"/>
    <w:link w:val="2"/>
    <w:qFormat/>
    <w:uiPriority w:val="0"/>
    <w:rPr>
      <w:rFonts w:ascii="Calibri" w:hAnsi="Calibri" w:eastAsia="宋体" w:cs="Times New Roman"/>
      <w:b/>
      <w:bCs/>
      <w:kern w:val="44"/>
      <w:sz w:val="44"/>
      <w:szCs w:val="44"/>
    </w:rPr>
  </w:style>
  <w:style w:type="character" w:customStyle="1" w:styleId="8">
    <w:name w:val="页眉 Char"/>
    <w:basedOn w:val="6"/>
    <w:link w:val="4"/>
    <w:uiPriority w:val="99"/>
    <w:rPr>
      <w:rFonts w:ascii="Calibri" w:hAnsi="Calibri" w:eastAsia="宋体" w:cs="Times New Roman"/>
      <w:sz w:val="18"/>
      <w:szCs w:val="18"/>
    </w:rPr>
  </w:style>
  <w:style w:type="character" w:customStyle="1" w:styleId="9">
    <w:name w:val="页脚 Char"/>
    <w:basedOn w:val="6"/>
    <w:link w:val="3"/>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194</Words>
  <Characters>1108</Characters>
  <Lines>9</Lines>
  <Paragraphs>2</Paragraphs>
  <TotalTime>1</TotalTime>
  <ScaleCrop>false</ScaleCrop>
  <LinksUpToDate>false</LinksUpToDate>
  <CharactersWithSpaces>1300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2020-12-02T04:27:00Z</dcterms:created>
  <dc:creator>陈星霖</dc:creator>
  <cp:lastModifiedBy>阳啦啦啦啦</cp:lastModifiedBy>
  <dcterms:modified xsi:type="dcterms:W3CDTF">2020-12-10T07:30:07Z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