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szCs w:val="32"/>
        </w:rPr>
      </w:pPr>
      <w:bookmarkStart w:id="0" w:name="_Toc24724722"/>
      <w:r>
        <w:rPr>
          <w:rFonts w:hint="eastAsia" w:ascii="黑体" w:hAnsi="黑体" w:eastAsia="黑体"/>
          <w:sz w:val="32"/>
          <w:szCs w:val="32"/>
        </w:rPr>
        <w:t>附件2</w:t>
      </w:r>
    </w:p>
    <w:p>
      <w:pPr>
        <w:jc w:val="center"/>
        <w:rPr>
          <w:rFonts w:hint="eastAsia" w:ascii="方正小标宋简体" w:eastAsia="方正小标宋简体"/>
          <w:sz w:val="44"/>
          <w:szCs w:val="44"/>
        </w:rPr>
      </w:pPr>
      <w:r>
        <w:rPr>
          <w:rFonts w:hint="eastAsia" w:ascii="方正小标宋简体" w:eastAsia="方正小标宋简体"/>
          <w:sz w:val="44"/>
          <w:szCs w:val="44"/>
        </w:rPr>
        <w:t xml:space="preserve"> </w:t>
      </w:r>
      <w:r>
        <w:rPr>
          <w:rFonts w:hint="eastAsia" w:ascii="方正小标宋简体" w:eastAsia="方正小标宋简体"/>
          <w:sz w:val="44"/>
          <w:szCs w:val="44"/>
          <w:lang w:eastAsia="zh-CN"/>
        </w:rPr>
        <w:t>玉州区</w:t>
      </w:r>
      <w:r>
        <w:rPr>
          <w:rFonts w:hint="eastAsia" w:ascii="方正小标宋简体" w:eastAsia="方正小标宋简体"/>
          <w:sz w:val="44"/>
          <w:szCs w:val="44"/>
        </w:rPr>
        <w:t>涉农补贴领域基层政务公开标准目录</w:t>
      </w:r>
      <w:bookmarkEnd w:id="0"/>
    </w:p>
    <w:tbl>
      <w:tblPr>
        <w:tblStyle w:val="3"/>
        <w:tblW w:w="15300" w:type="dxa"/>
        <w:tblInd w:w="-664" w:type="dxa"/>
        <w:tblLayout w:type="fixed"/>
        <w:tblCellMar>
          <w:top w:w="0" w:type="dxa"/>
          <w:left w:w="108" w:type="dxa"/>
          <w:bottom w:w="0" w:type="dxa"/>
          <w:right w:w="108" w:type="dxa"/>
        </w:tblCellMar>
      </w:tblPr>
      <w:tblGrid>
        <w:gridCol w:w="457"/>
        <w:gridCol w:w="721"/>
        <w:gridCol w:w="754"/>
        <w:gridCol w:w="5295"/>
        <w:gridCol w:w="1140"/>
        <w:gridCol w:w="1140"/>
        <w:gridCol w:w="720"/>
        <w:gridCol w:w="1113"/>
        <w:gridCol w:w="720"/>
        <w:gridCol w:w="709"/>
        <w:gridCol w:w="551"/>
        <w:gridCol w:w="720"/>
        <w:gridCol w:w="720"/>
        <w:gridCol w:w="540"/>
      </w:tblGrid>
      <w:tr>
        <w:tblPrEx>
          <w:tblCellMar>
            <w:top w:w="0" w:type="dxa"/>
            <w:left w:w="108" w:type="dxa"/>
            <w:bottom w:w="0" w:type="dxa"/>
            <w:right w:w="108" w:type="dxa"/>
          </w:tblCellMar>
        </w:tblPrEx>
        <w:trPr>
          <w:cantSplit/>
        </w:trPr>
        <w:tc>
          <w:tcPr>
            <w:tcW w:w="45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Times New Roman" w:eastAsia="黑体"/>
                <w:color w:val="000000"/>
                <w:kern w:val="0"/>
                <w:sz w:val="22"/>
              </w:rPr>
            </w:pPr>
            <w:r>
              <w:rPr>
                <w:rFonts w:hint="eastAsia" w:ascii="黑体" w:hAnsi="宋体" w:eastAsia="黑体"/>
                <w:color w:val="000000"/>
                <w:kern w:val="0"/>
                <w:sz w:val="22"/>
              </w:rPr>
              <w:t>序号</w:t>
            </w:r>
          </w:p>
        </w:tc>
        <w:tc>
          <w:tcPr>
            <w:tcW w:w="147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529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1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1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7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11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CellMar>
            <w:top w:w="0" w:type="dxa"/>
            <w:left w:w="108" w:type="dxa"/>
            <w:bottom w:w="0" w:type="dxa"/>
            <w:right w:w="108" w:type="dxa"/>
          </w:tblCellMar>
        </w:tblPrEx>
        <w:trPr>
          <w:cantSplit/>
        </w:trPr>
        <w:tc>
          <w:tcPr>
            <w:tcW w:w="45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Times New Roman" w:eastAsia="黑体"/>
                <w:color w:val="000000"/>
                <w:kern w:val="0"/>
                <w:sz w:val="22"/>
              </w:rPr>
            </w:pPr>
          </w:p>
        </w:tc>
        <w:tc>
          <w:tcPr>
            <w:tcW w:w="7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52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1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kern w:val="0"/>
                <w:sz w:val="22"/>
              </w:rPr>
            </w:pP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乡级</w:t>
            </w:r>
          </w:p>
        </w:tc>
      </w:tr>
      <w:tr>
        <w:tblPrEx>
          <w:tblCellMar>
            <w:top w:w="0" w:type="dxa"/>
            <w:left w:w="108" w:type="dxa"/>
            <w:bottom w:w="0" w:type="dxa"/>
            <w:right w:w="108" w:type="dxa"/>
          </w:tblCellMar>
        </w:tblPrEx>
        <w:trPr>
          <w:cantSplit/>
          <w:trHeight w:val="8709" w:hRule="atLeast"/>
        </w:trPr>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w:t>
            </w:r>
          </w:p>
        </w:tc>
        <w:tc>
          <w:tcPr>
            <w:tcW w:w="721"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hint="eastAsia" w:ascii="仿宋_GB2312" w:hAnsi="宋体" w:eastAsia="仿宋_GB2312"/>
                <w:sz w:val="18"/>
                <w:szCs w:val="18"/>
              </w:rPr>
            </w:pPr>
            <w:r>
              <w:rPr>
                <w:rFonts w:hint="eastAsia" w:ascii="仿宋_GB2312" w:hAnsi="宋体" w:eastAsia="仿宋_GB2312"/>
                <w:sz w:val="18"/>
                <w:szCs w:val="18"/>
              </w:rPr>
              <w:t>农业生产发展资金</w:t>
            </w:r>
          </w:p>
        </w:tc>
        <w:tc>
          <w:tcPr>
            <w:tcW w:w="754"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耕地地力保护</w:t>
            </w:r>
          </w:p>
        </w:tc>
        <w:tc>
          <w:tcPr>
            <w:tcW w:w="5295"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kinsoku/>
              <w:wordWrap/>
              <w:overflowPunct/>
              <w:topLinePunct w:val="0"/>
              <w:autoSpaceDE/>
              <w:autoSpaceDN/>
              <w:bidi w:val="0"/>
              <w:adjustRightInd/>
              <w:snapToGrid w:val="0"/>
              <w:spacing w:line="240" w:lineRule="exact"/>
              <w:textAlignment w:val="auto"/>
              <w:rPr>
                <w:rFonts w:hint="eastAsia" w:ascii="仿宋_GB2312" w:hAnsi="Times New Roman" w:eastAsia="仿宋_GB2312"/>
                <w:sz w:val="18"/>
                <w:szCs w:val="18"/>
                <w:lang w:eastAsia="zh-CN"/>
              </w:rPr>
            </w:pPr>
            <w:r>
              <w:rPr>
                <w:rFonts w:hint="eastAsia" w:ascii="仿宋_GB2312" w:hAnsi="Times New Roman" w:eastAsia="仿宋_GB2312"/>
                <w:sz w:val="18"/>
                <w:szCs w:val="18"/>
              </w:rPr>
              <w:t>政策依据</w:t>
            </w:r>
            <w:r>
              <w:rPr>
                <w:rFonts w:hint="eastAsia" w:ascii="仿宋_GB2312" w:hAnsi="Times New Roman" w:eastAsia="仿宋_GB2312"/>
                <w:sz w:val="18"/>
                <w:szCs w:val="18"/>
                <w:lang w:eastAsia="zh-CN"/>
              </w:rPr>
              <w:t>：</w:t>
            </w:r>
            <w:r>
              <w:rPr>
                <w:rFonts w:hint="eastAsia" w:ascii="仿宋_GB2312" w:hAnsi="Times New Roman" w:eastAsia="仿宋_GB2312"/>
                <w:sz w:val="18"/>
                <w:szCs w:val="18"/>
              </w:rPr>
              <w:t>《农业生产发展资金管理办法》、《财政部 农业部关于全面推开农业“三项补贴”改革工作的通知》《自治区农业农村厅 自治区财政厅关于做好2020年耕地地力保护补贴项目实施工作的通知》</w:t>
            </w:r>
            <w:r>
              <w:rPr>
                <w:rFonts w:hint="eastAsia" w:ascii="仿宋_GB2312" w:hAnsi="Times New Roman" w:eastAsia="仿宋_GB2312"/>
                <w:sz w:val="18"/>
                <w:szCs w:val="18"/>
                <w:lang w:eastAsia="zh-CN"/>
              </w:rPr>
              <w:t>等文件。</w:t>
            </w:r>
          </w:p>
          <w:p>
            <w:pPr>
              <w:pStyle w:val="2"/>
              <w:keepNext w:val="0"/>
              <w:keepLines w:val="0"/>
              <w:pageBreakBefore w:val="0"/>
              <w:widowControl/>
              <w:kinsoku/>
              <w:wordWrap/>
              <w:overflowPunct/>
              <w:topLinePunct w:val="0"/>
              <w:autoSpaceDE/>
              <w:autoSpaceDN/>
              <w:bidi w:val="0"/>
              <w:adjustRightInd/>
              <w:snapToGrid w:val="0"/>
              <w:spacing w:line="240" w:lineRule="exact"/>
              <w:textAlignment w:val="auto"/>
              <w:rPr>
                <w:rFonts w:hint="eastAsia" w:ascii="仿宋_GB2312" w:hAnsi="Times New Roman" w:eastAsia="仿宋_GB2312"/>
                <w:sz w:val="18"/>
                <w:szCs w:val="18"/>
                <w:lang w:eastAsia="zh-CN"/>
              </w:rPr>
            </w:pPr>
            <w:r>
              <w:rPr>
                <w:rFonts w:hint="eastAsia" w:ascii="仿宋_GB2312" w:hAnsi="Times New Roman" w:eastAsia="仿宋_GB2312"/>
                <w:sz w:val="18"/>
                <w:szCs w:val="18"/>
              </w:rPr>
              <w:t>申请指南：补贴对象</w:t>
            </w:r>
            <w:r>
              <w:rPr>
                <w:rFonts w:hint="eastAsia" w:ascii="仿宋_GB2312" w:hAnsi="Times New Roman" w:eastAsia="仿宋_GB2312"/>
                <w:sz w:val="18"/>
                <w:szCs w:val="18"/>
                <w:lang w:eastAsia="zh-CN"/>
              </w:rPr>
              <w:t>：补贴对象为全</w:t>
            </w:r>
            <w:r>
              <w:rPr>
                <w:rFonts w:hint="eastAsia" w:ascii="仿宋_GB2312" w:hAnsi="Times New Roman" w:eastAsia="仿宋_GB2312"/>
                <w:sz w:val="18"/>
                <w:szCs w:val="18"/>
                <w:lang w:val="en-US" w:eastAsia="zh-CN"/>
              </w:rPr>
              <w:t>市</w:t>
            </w:r>
            <w:r>
              <w:rPr>
                <w:rFonts w:hint="eastAsia" w:ascii="仿宋_GB2312" w:hAnsi="Times New Roman" w:eastAsia="仿宋_GB2312"/>
                <w:sz w:val="18"/>
                <w:szCs w:val="18"/>
                <w:lang w:eastAsia="zh-CN"/>
              </w:rPr>
              <w:t>所有拥有耕地承包权的农户。农户已流转给企业、合作社、家庭农场、种植大户等经营主体的耕地，补贴资金仍直接发放给承包耕地的农户（流转合同中有明确约定的除外）。</w:t>
            </w:r>
          </w:p>
          <w:p>
            <w:pPr>
              <w:pStyle w:val="2"/>
              <w:keepNext w:val="0"/>
              <w:keepLines w:val="0"/>
              <w:pageBreakBefore w:val="0"/>
              <w:widowControl/>
              <w:kinsoku/>
              <w:wordWrap/>
              <w:overflowPunct/>
              <w:topLinePunct w:val="0"/>
              <w:autoSpaceDE/>
              <w:autoSpaceDN/>
              <w:bidi w:val="0"/>
              <w:adjustRightInd/>
              <w:snapToGrid w:val="0"/>
              <w:spacing w:line="240" w:lineRule="exact"/>
              <w:textAlignment w:val="auto"/>
              <w:rPr>
                <w:rFonts w:hint="eastAsia" w:ascii="仿宋_GB2312" w:hAnsi="Times New Roman" w:eastAsia="仿宋_GB2312"/>
                <w:sz w:val="18"/>
                <w:szCs w:val="18"/>
                <w:lang w:eastAsia="zh-CN"/>
              </w:rPr>
            </w:pPr>
            <w:r>
              <w:rPr>
                <w:rFonts w:hint="eastAsia" w:ascii="仿宋_GB2312" w:hAnsi="Times New Roman" w:eastAsia="仿宋_GB2312"/>
                <w:sz w:val="18"/>
                <w:szCs w:val="18"/>
              </w:rPr>
              <w:t>补贴范围</w:t>
            </w:r>
            <w:r>
              <w:rPr>
                <w:rFonts w:hint="eastAsia" w:ascii="仿宋_GB2312" w:hAnsi="Times New Roman" w:eastAsia="仿宋_GB2312"/>
                <w:sz w:val="18"/>
                <w:szCs w:val="18"/>
                <w:lang w:eastAsia="zh-CN"/>
              </w:rPr>
              <w:t>：已被非农征用、退耕还林、挖塘养鱼、畜禽养殖、发展林果业、绿化景观建设、成片粮田转为设施农业用地等已改变用途的耕地，以及长年撂荒地、占补平衡中“补”的耕地质量未能通过验收确认的耕地，不属于补贴范围。对于一年生草本的果品类作物，如种植西瓜、草莓等作物对耕地质量不造成影响的，可以予以补贴。但多年生或木本的果树、茶叶等不予补贴。</w:t>
            </w:r>
          </w:p>
          <w:p>
            <w:pPr>
              <w:pStyle w:val="2"/>
              <w:keepNext w:val="0"/>
              <w:keepLines w:val="0"/>
              <w:pageBreakBefore w:val="0"/>
              <w:widowControl/>
              <w:kinsoku/>
              <w:wordWrap/>
              <w:overflowPunct/>
              <w:topLinePunct w:val="0"/>
              <w:autoSpaceDE/>
              <w:autoSpaceDN/>
              <w:bidi w:val="0"/>
              <w:adjustRightInd/>
              <w:snapToGrid w:val="0"/>
              <w:spacing w:line="240" w:lineRule="exact"/>
              <w:textAlignment w:val="auto"/>
              <w:rPr>
                <w:rFonts w:hint="eastAsia" w:ascii="仿宋_GB2312" w:hAnsi="Times New Roman" w:eastAsia="仿宋_GB2312"/>
                <w:sz w:val="18"/>
                <w:szCs w:val="18"/>
                <w:lang w:eastAsia="zh-CN"/>
              </w:rPr>
            </w:pPr>
            <w:r>
              <w:rPr>
                <w:rFonts w:hint="eastAsia" w:ascii="仿宋_GB2312" w:hAnsi="Times New Roman" w:eastAsia="仿宋_GB2312"/>
                <w:sz w:val="18"/>
                <w:szCs w:val="18"/>
              </w:rPr>
              <w:t>补贴标准</w:t>
            </w:r>
            <w:r>
              <w:rPr>
                <w:rFonts w:hint="eastAsia" w:ascii="仿宋_GB2312" w:hAnsi="Times New Roman" w:eastAsia="仿宋_GB2312"/>
                <w:sz w:val="18"/>
                <w:szCs w:val="18"/>
                <w:lang w:eastAsia="zh-CN"/>
              </w:rPr>
              <w:t>：全</w:t>
            </w:r>
            <w:r>
              <w:rPr>
                <w:rFonts w:hint="eastAsia" w:ascii="仿宋_GB2312" w:hAnsi="Times New Roman" w:eastAsia="仿宋_GB2312"/>
                <w:sz w:val="18"/>
                <w:szCs w:val="18"/>
                <w:lang w:val="en-US" w:eastAsia="zh-CN"/>
              </w:rPr>
              <w:t>市</w:t>
            </w:r>
            <w:r>
              <w:rPr>
                <w:rFonts w:hint="eastAsia" w:ascii="仿宋_GB2312" w:hAnsi="Times New Roman" w:eastAsia="仿宋_GB2312"/>
                <w:sz w:val="18"/>
                <w:szCs w:val="18"/>
                <w:lang w:eastAsia="zh-CN"/>
              </w:rPr>
              <w:t>统一依据和标准。2020年度执行统一补贴面积依据和补贴标准，原则上统一以农村土地承包经营权确权登记面积为依据。对本</w:t>
            </w:r>
            <w:r>
              <w:rPr>
                <w:rFonts w:hint="eastAsia" w:ascii="仿宋_GB2312" w:hAnsi="Times New Roman" w:eastAsia="仿宋_GB2312"/>
                <w:sz w:val="18"/>
                <w:szCs w:val="18"/>
                <w:lang w:val="en-US" w:eastAsia="zh-CN"/>
              </w:rPr>
              <w:t>市</w:t>
            </w:r>
            <w:r>
              <w:rPr>
                <w:rFonts w:hint="eastAsia" w:ascii="仿宋_GB2312" w:hAnsi="Times New Roman" w:eastAsia="仿宋_GB2312"/>
                <w:sz w:val="18"/>
                <w:szCs w:val="18"/>
                <w:lang w:eastAsia="zh-CN"/>
              </w:rPr>
              <w:t>因各种原因尚未确权到户的耕地，可仍按本</w:t>
            </w:r>
            <w:r>
              <w:rPr>
                <w:rFonts w:hint="eastAsia" w:ascii="仿宋_GB2312" w:hAnsi="Times New Roman" w:eastAsia="仿宋_GB2312"/>
                <w:sz w:val="18"/>
                <w:szCs w:val="18"/>
                <w:lang w:val="en-US" w:eastAsia="zh-CN"/>
              </w:rPr>
              <w:t>市</w:t>
            </w:r>
            <w:r>
              <w:rPr>
                <w:rFonts w:hint="eastAsia" w:ascii="仿宋_GB2312" w:hAnsi="Times New Roman" w:eastAsia="仿宋_GB2312"/>
                <w:sz w:val="18"/>
                <w:szCs w:val="18"/>
                <w:lang w:eastAsia="zh-CN"/>
              </w:rPr>
              <w:t>上年补贴依据给予登记和补贴。</w:t>
            </w:r>
          </w:p>
          <w:p>
            <w:pPr>
              <w:pStyle w:val="2"/>
              <w:keepNext w:val="0"/>
              <w:keepLines w:val="0"/>
              <w:pageBreakBefore w:val="0"/>
              <w:widowControl/>
              <w:kinsoku/>
              <w:wordWrap/>
              <w:overflowPunct/>
              <w:topLinePunct w:val="0"/>
              <w:autoSpaceDE/>
              <w:autoSpaceDN/>
              <w:bidi w:val="0"/>
              <w:adjustRightInd/>
              <w:snapToGrid w:val="0"/>
              <w:spacing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申请程序</w:t>
            </w:r>
            <w:r>
              <w:rPr>
                <w:rFonts w:hint="eastAsia" w:ascii="仿宋_GB2312" w:hAnsi="Times New Roman" w:eastAsia="仿宋_GB2312"/>
                <w:sz w:val="18"/>
                <w:szCs w:val="18"/>
                <w:lang w:eastAsia="zh-CN"/>
              </w:rPr>
              <w:t>：</w:t>
            </w:r>
            <w:r>
              <w:rPr>
                <w:rFonts w:hint="eastAsia" w:ascii="仿宋_GB2312" w:hAnsi="Times New Roman" w:eastAsia="仿宋_GB2312"/>
                <w:sz w:val="18"/>
                <w:szCs w:val="18"/>
                <w:lang w:val="en-US" w:eastAsia="zh-CN"/>
              </w:rPr>
              <w:t>1、</w:t>
            </w:r>
            <w:r>
              <w:rPr>
                <w:rFonts w:hint="eastAsia" w:ascii="仿宋_GB2312" w:hAnsi="Times New Roman" w:eastAsia="仿宋_GB2312"/>
                <w:sz w:val="18"/>
                <w:szCs w:val="18"/>
                <w:lang w:eastAsia="zh-CN"/>
              </w:rPr>
              <w:t>农户信息和补贴面积登记、录入、核减。按照地域管理权限，在耕地所属地域登记农户信息和补贴面积。</w:t>
            </w:r>
            <w:r>
              <w:rPr>
                <w:rFonts w:hint="eastAsia" w:ascii="仿宋_GB2312" w:hAnsi="Times New Roman" w:eastAsia="仿宋_GB2312"/>
                <w:sz w:val="18"/>
                <w:szCs w:val="18"/>
                <w:lang w:val="en-US" w:eastAsia="zh-CN"/>
              </w:rPr>
              <w:t>2、各镇（街道）政府（办事处）负责公示，通过农民补贴网络信息系统，生成每个村组的农民补贴情况公示表（包括农户姓名、补贴面积、核减面积等内容），加盖镇（街道）政府（办事处）公章后，由镇（街道）政府（办事处）组织人员在村内公示7天；公示无异议后，通过补贴网系统向县级上传所有信息，并通过纸质文件呈报区财政局、区农业农村局审核。3、市农业农村部门负责牵头，会同区财政局，并邀请自然资源、统计等部门参与补贴相关数据进行审核。要对每个镇（街道）随机抽取1—2个村，每个村抽5—10个农户进行审核。若发现问题，要及时通知镇（街道）重新核实、公示，并在系统中进行修改。4、各镇（街道）的补贴面积通过审核后，由市农业农村局汇总和测算全区补贴标准，制定补贴资金分配方案，并会同市财政局联合行文报请区人民政府审定。补贴资金分配方案通过市人民政府审核同意后，市农业农村局、市财政局要对各镇（街道）的补贴面积和补贴资金给予书面批复，同时在补贴网上录入补贴标准，以确保公示内容、审核批复与实际发放情况完全一致。</w:t>
            </w:r>
          </w:p>
        </w:tc>
        <w:tc>
          <w:tcPr>
            <w:tcW w:w="1140" w:type="dxa"/>
            <w:tcBorders>
              <w:top w:val="single" w:color="auto" w:sz="4" w:space="0"/>
              <w:left w:val="single" w:color="auto" w:sz="4" w:space="0"/>
              <w:bottom w:val="single" w:color="auto" w:sz="4" w:space="0"/>
              <w:right w:val="single" w:color="auto" w:sz="4" w:space="0"/>
            </w:tcBorders>
            <w:vAlign w:val="top"/>
          </w:tcPr>
          <w:p>
            <w:pPr>
              <w:rPr>
                <w:rFonts w:hint="eastAsia" w:ascii="仿宋_GB2312" w:hAnsi="Times New Roman" w:eastAsia="仿宋_GB2312"/>
                <w:sz w:val="18"/>
                <w:szCs w:val="18"/>
              </w:rPr>
            </w:pPr>
            <w:r>
              <w:rPr>
                <w:rFonts w:hint="eastAsia" w:ascii="仿宋_GB2312" w:hAnsi="Times New Roman" w:eastAsia="仿宋_GB2312"/>
                <w:sz w:val="18"/>
                <w:szCs w:val="18"/>
              </w:rPr>
              <w:t>《农业生产发展资金管理办法》、《财政部 农业部关于全面推开农业“三项补贴”改革工作的通知》</w:t>
            </w:r>
          </w:p>
        </w:tc>
        <w:tc>
          <w:tcPr>
            <w:tcW w:w="1140" w:type="dxa"/>
            <w:tcBorders>
              <w:top w:val="single" w:color="auto" w:sz="4" w:space="0"/>
              <w:left w:val="single" w:color="auto" w:sz="4" w:space="0"/>
              <w:bottom w:val="single" w:color="auto" w:sz="4" w:space="0"/>
              <w:right w:val="single" w:color="auto" w:sz="4" w:space="0"/>
            </w:tcBorders>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720" w:type="dxa"/>
            <w:tcBorders>
              <w:top w:val="single" w:color="auto" w:sz="4" w:space="0"/>
              <w:left w:val="single" w:color="auto" w:sz="4" w:space="0"/>
              <w:bottom w:val="single" w:color="auto" w:sz="4" w:space="0"/>
              <w:right w:val="single" w:color="auto" w:sz="4" w:space="0"/>
            </w:tcBorders>
            <w:vAlign w:val="top"/>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ascii="黑体" w:hAnsi="宋体" w:eastAsia="黑体" w:cs="宋体"/>
                <w:color w:val="000000"/>
                <w:kern w:val="0"/>
                <w:sz w:val="22"/>
              </w:rPr>
            </w:pPr>
          </w:p>
        </w:tc>
        <w:tc>
          <w:tcPr>
            <w:tcW w:w="1113" w:type="dxa"/>
            <w:tcBorders>
              <w:top w:val="single" w:color="auto" w:sz="4" w:space="0"/>
              <w:left w:val="single" w:color="auto" w:sz="4" w:space="0"/>
              <w:bottom w:val="single" w:color="auto" w:sz="4" w:space="0"/>
              <w:right w:val="single" w:color="auto" w:sz="4" w:space="0"/>
            </w:tcBorders>
            <w:vAlign w:val="top"/>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（http://www.ylyz.gov.cn/）</w:t>
            </w:r>
          </w:p>
          <w:p>
            <w:pPr>
              <w:spacing w:line="240" w:lineRule="exact"/>
              <w:jc w:val="left"/>
              <w:rPr>
                <w:rFonts w:hint="eastAsia" w:ascii="仿宋_GB2312" w:hAnsi="宋体" w:eastAsia="仿宋_GB2312"/>
                <w:sz w:val="18"/>
                <w:szCs w:val="18"/>
                <w:lang w:eastAsia="zh-CN"/>
              </w:rPr>
            </w:pP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olor w:val="000000"/>
                <w:sz w:val="18"/>
                <w:szCs w:val="18"/>
              </w:rPr>
            </w:pPr>
            <w:r>
              <w:rPr>
                <w:rFonts w:hint="eastAsia" w:ascii="仿宋_GB2312" w:hAnsi="仿宋" w:eastAsia="仿宋_GB2312"/>
                <w:color w:val="000000"/>
                <w:sz w:val="18"/>
                <w:szCs w:val="18"/>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olor w:val="000000"/>
                <w:sz w:val="18"/>
                <w:szCs w:val="18"/>
              </w:rPr>
            </w:pPr>
            <w:r>
              <w:rPr>
                <w:rFonts w:hint="eastAsia" w:ascii="仿宋_GB2312" w:hAnsi="仿宋" w:eastAsia="仿宋_GB2312"/>
                <w:color w:val="000000"/>
                <w:sz w:val="18"/>
                <w:szCs w:val="18"/>
              </w:rPr>
              <w:t>　</w:t>
            </w:r>
          </w:p>
        </w:tc>
        <w:tc>
          <w:tcPr>
            <w:tcW w:w="551"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Pr>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w:t>
            </w:r>
          </w:p>
        </w:tc>
        <w:tc>
          <w:tcPr>
            <w:tcW w:w="721"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hint="eastAsia" w:ascii="仿宋_GB2312" w:hAnsi="宋体" w:eastAsia="仿宋_GB2312"/>
                <w:sz w:val="18"/>
                <w:szCs w:val="18"/>
              </w:rPr>
            </w:pPr>
            <w:r>
              <w:rPr>
                <w:rFonts w:hint="eastAsia" w:ascii="仿宋_GB2312" w:hAnsi="宋体" w:eastAsia="仿宋_GB2312"/>
                <w:sz w:val="18"/>
                <w:szCs w:val="18"/>
              </w:rPr>
              <w:t>农业生产发展资金</w:t>
            </w:r>
          </w:p>
        </w:tc>
        <w:tc>
          <w:tcPr>
            <w:tcW w:w="754"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耕地地力保护</w:t>
            </w:r>
          </w:p>
        </w:tc>
        <w:tc>
          <w:tcPr>
            <w:tcW w:w="5295"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kinsoku/>
              <w:wordWrap/>
              <w:overflowPunct/>
              <w:topLinePunct w:val="0"/>
              <w:autoSpaceDE/>
              <w:autoSpaceDN/>
              <w:bidi w:val="0"/>
              <w:adjustRightInd/>
              <w:snapToGrid w:val="0"/>
              <w:spacing w:line="240" w:lineRule="exact"/>
              <w:textAlignment w:val="auto"/>
              <w:rPr>
                <w:rFonts w:hint="default"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5、及时发放补贴资金。市财政局按照区农业农村局提供审核批复的补贴面积和补贴资金，分别下拨到各镇（街道）财政所，各镇（街道）财政所委托金融机构将补贴款发放到农户的“一卡通”账户。整个发放程序要严而有序、公开透明。</w:t>
            </w:r>
            <w:r>
              <w:rPr>
                <w:rFonts w:hint="eastAsia" w:ascii="仿宋_GB2312" w:hAnsi="Times New Roman" w:eastAsia="仿宋_GB2312"/>
                <w:sz w:val="18"/>
                <w:szCs w:val="18"/>
                <w:lang w:eastAsia="zh-CN"/>
              </w:rPr>
              <w:br w:type="textWrapping"/>
            </w:r>
            <w:r>
              <w:rPr>
                <w:rFonts w:hint="eastAsia" w:ascii="仿宋_GB2312" w:hAnsi="Times New Roman" w:eastAsia="仿宋_GB2312"/>
                <w:sz w:val="18"/>
                <w:szCs w:val="18"/>
              </w:rPr>
              <w:t>咨询电话</w:t>
            </w:r>
            <w:r>
              <w:rPr>
                <w:rFonts w:hint="eastAsia" w:ascii="仿宋_GB2312" w:hAnsi="Times New Roman" w:eastAsia="仿宋_GB2312"/>
                <w:sz w:val="18"/>
                <w:szCs w:val="18"/>
                <w:lang w:eastAsia="zh-CN"/>
              </w:rPr>
              <w:t>：0775—</w:t>
            </w:r>
            <w:r>
              <w:rPr>
                <w:rFonts w:hint="eastAsia" w:ascii="仿宋_GB2312" w:hAnsi="Times New Roman" w:eastAsia="仿宋_GB2312"/>
                <w:sz w:val="18"/>
                <w:szCs w:val="18"/>
                <w:lang w:val="en-US" w:eastAsia="zh-CN"/>
              </w:rPr>
              <w:t>6228051</w:t>
            </w:r>
          </w:p>
          <w:p>
            <w:pPr>
              <w:pStyle w:val="2"/>
              <w:keepNext w:val="0"/>
              <w:keepLines w:val="0"/>
              <w:pageBreakBefore w:val="0"/>
              <w:widowControl/>
              <w:kinsoku/>
              <w:wordWrap/>
              <w:overflowPunct/>
              <w:topLinePunct w:val="0"/>
              <w:autoSpaceDE/>
              <w:autoSpaceDN/>
              <w:bidi w:val="0"/>
              <w:adjustRightInd/>
              <w:snapToGrid w:val="0"/>
              <w:spacing w:line="240" w:lineRule="exact"/>
              <w:textAlignment w:val="auto"/>
              <w:rPr>
                <w:rFonts w:hint="eastAsia" w:ascii="仿宋_GB2312" w:hAnsi="Times New Roman" w:eastAsia="仿宋_GB2312"/>
                <w:sz w:val="18"/>
                <w:szCs w:val="18"/>
                <w:lang w:eastAsia="zh-CN"/>
              </w:rPr>
            </w:pPr>
            <w:r>
              <w:rPr>
                <w:rFonts w:hint="eastAsia" w:ascii="仿宋_GB2312" w:hAnsi="Times New Roman" w:eastAsia="仿宋_GB2312"/>
                <w:sz w:val="18"/>
                <w:szCs w:val="18"/>
              </w:rPr>
              <w:t>受理单位</w:t>
            </w:r>
            <w:r>
              <w:rPr>
                <w:rFonts w:hint="eastAsia" w:ascii="仿宋_GB2312" w:hAnsi="Times New Roman" w:eastAsia="仿宋_GB2312"/>
                <w:sz w:val="18"/>
                <w:szCs w:val="18"/>
                <w:lang w:eastAsia="zh-CN"/>
              </w:rPr>
              <w:t>：</w:t>
            </w:r>
            <w:r>
              <w:rPr>
                <w:rFonts w:hint="eastAsia" w:ascii="仿宋_GB2312" w:hAnsi="Times New Roman" w:eastAsia="仿宋_GB2312"/>
                <w:sz w:val="18"/>
                <w:szCs w:val="18"/>
                <w:lang w:val="en-US" w:eastAsia="zh-CN"/>
              </w:rPr>
              <w:t>北流市</w:t>
            </w:r>
            <w:r>
              <w:rPr>
                <w:rFonts w:hint="eastAsia" w:ascii="仿宋_GB2312" w:hAnsi="Times New Roman" w:eastAsia="仿宋_GB2312"/>
                <w:sz w:val="18"/>
                <w:szCs w:val="18"/>
                <w:lang w:eastAsia="zh-CN"/>
              </w:rPr>
              <w:t>农业农村局和</w:t>
            </w:r>
            <w:r>
              <w:rPr>
                <w:rFonts w:hint="eastAsia" w:ascii="仿宋_GB2312" w:hAnsi="Times New Roman" w:eastAsia="仿宋_GB2312"/>
                <w:sz w:val="18"/>
                <w:szCs w:val="18"/>
                <w:lang w:val="en-US" w:eastAsia="zh-CN"/>
              </w:rPr>
              <w:t>北流市</w:t>
            </w:r>
            <w:r>
              <w:rPr>
                <w:rFonts w:hint="eastAsia" w:ascii="仿宋_GB2312" w:hAnsi="Times New Roman" w:eastAsia="仿宋_GB2312"/>
                <w:sz w:val="18"/>
                <w:szCs w:val="18"/>
                <w:lang w:eastAsia="zh-CN"/>
              </w:rPr>
              <w:t>财政局</w:t>
            </w:r>
          </w:p>
          <w:p>
            <w:pPr>
              <w:pStyle w:val="2"/>
              <w:keepNext w:val="0"/>
              <w:keepLines w:val="0"/>
              <w:pageBreakBefore w:val="0"/>
              <w:widowControl/>
              <w:kinsoku/>
              <w:wordWrap/>
              <w:overflowPunct/>
              <w:topLinePunct w:val="0"/>
              <w:autoSpaceDE/>
              <w:autoSpaceDN/>
              <w:bidi w:val="0"/>
              <w:adjustRightInd/>
              <w:snapToGrid w:val="0"/>
              <w:spacing w:line="240" w:lineRule="exact"/>
              <w:textAlignment w:val="auto"/>
              <w:rPr>
                <w:rFonts w:hint="default" w:ascii="仿宋_GB2312" w:hAnsi="Times New Roman" w:eastAsia="仿宋_GB2312"/>
                <w:sz w:val="18"/>
                <w:szCs w:val="18"/>
                <w:lang w:val="en-US" w:eastAsia="zh-CN"/>
              </w:rPr>
            </w:pPr>
            <w:r>
              <w:rPr>
                <w:rFonts w:hint="eastAsia" w:ascii="仿宋_GB2312" w:hAnsi="Times New Roman" w:eastAsia="仿宋_GB2312"/>
                <w:sz w:val="18"/>
                <w:szCs w:val="18"/>
              </w:rPr>
              <w:t>联系方式</w:t>
            </w:r>
            <w:r>
              <w:rPr>
                <w:rFonts w:hint="eastAsia" w:ascii="仿宋_GB2312" w:hAnsi="Times New Roman" w:eastAsia="仿宋_GB2312"/>
                <w:sz w:val="18"/>
                <w:szCs w:val="18"/>
                <w:lang w:eastAsia="zh-CN"/>
              </w:rPr>
              <w:t>：0775—</w:t>
            </w:r>
            <w:r>
              <w:rPr>
                <w:rFonts w:hint="eastAsia" w:ascii="仿宋_GB2312" w:hAnsi="Times New Roman" w:eastAsia="仿宋_GB2312"/>
                <w:sz w:val="18"/>
                <w:szCs w:val="18"/>
                <w:lang w:val="en-US" w:eastAsia="zh-CN"/>
              </w:rPr>
              <w:t>6228051</w:t>
            </w:r>
            <w:r>
              <w:rPr>
                <w:rFonts w:hint="eastAsia" w:ascii="仿宋_GB2312" w:hAnsi="Times New Roman" w:eastAsia="仿宋_GB2312"/>
                <w:sz w:val="18"/>
                <w:szCs w:val="18"/>
                <w:lang w:eastAsia="zh-CN"/>
              </w:rPr>
              <w:t>、0775—</w:t>
            </w:r>
            <w:r>
              <w:rPr>
                <w:rFonts w:hint="eastAsia" w:ascii="仿宋_GB2312" w:hAnsi="Times New Roman" w:eastAsia="仿宋_GB2312"/>
                <w:sz w:val="18"/>
                <w:szCs w:val="18"/>
                <w:lang w:val="en-US" w:eastAsia="zh-CN"/>
              </w:rPr>
              <w:t>6223373</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补贴结果</w:t>
            </w:r>
            <w:r>
              <w:rPr>
                <w:rFonts w:hint="eastAsia" w:ascii="仿宋_GB2312" w:hAnsi="Times New Roman" w:eastAsia="仿宋_GB2312"/>
                <w:sz w:val="18"/>
                <w:szCs w:val="18"/>
                <w:lang w:eastAsia="zh-CN"/>
              </w:rPr>
              <w:t>：</w:t>
            </w:r>
            <w:r>
              <w:rPr>
                <w:rFonts w:hint="eastAsia" w:ascii="仿宋_GB2312" w:hAnsi="Times New Roman" w:eastAsia="仿宋_GB2312"/>
                <w:sz w:val="18"/>
                <w:szCs w:val="18"/>
                <w:lang w:val="en-US" w:eastAsia="zh-CN"/>
              </w:rPr>
              <w:t>市</w:t>
            </w:r>
            <w:r>
              <w:rPr>
                <w:rFonts w:hint="eastAsia" w:ascii="仿宋_GB2312" w:hAnsi="Times New Roman" w:eastAsia="仿宋_GB2312"/>
                <w:sz w:val="18"/>
                <w:szCs w:val="18"/>
                <w:lang w:eastAsia="zh-CN"/>
              </w:rPr>
              <w:t>财政局按照</w:t>
            </w:r>
            <w:r>
              <w:rPr>
                <w:rFonts w:hint="eastAsia" w:ascii="仿宋_GB2312" w:hAnsi="Times New Roman" w:eastAsia="仿宋_GB2312"/>
                <w:sz w:val="18"/>
                <w:szCs w:val="18"/>
                <w:lang w:val="en-US" w:eastAsia="zh-CN"/>
              </w:rPr>
              <w:t>市</w:t>
            </w:r>
            <w:r>
              <w:rPr>
                <w:rFonts w:hint="eastAsia" w:ascii="仿宋_GB2312" w:hAnsi="Times New Roman" w:eastAsia="仿宋_GB2312"/>
                <w:sz w:val="18"/>
                <w:szCs w:val="18"/>
                <w:lang w:eastAsia="zh-CN"/>
              </w:rPr>
              <w:t>农业农村局提供审核批复的补贴面积和补贴资金，分别下拨到各镇（街道）财政所，各镇（街道）财政所委托金融机构将补贴款发放到农户的“一卡通”账户。</w:t>
            </w:r>
          </w:p>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cs="Times New Roman"/>
                <w:kern w:val="2"/>
                <w:sz w:val="18"/>
                <w:szCs w:val="18"/>
                <w:lang w:val="en-US" w:eastAsia="zh-CN" w:bidi="ar-SA"/>
              </w:rPr>
              <w:t>查询结果：</w:t>
            </w:r>
            <w:r>
              <w:rPr>
                <w:rFonts w:hint="eastAsia" w:ascii="仿宋_GB2312" w:hAnsi="宋体" w:eastAsia="仿宋_GB2312"/>
                <w:color w:val="auto"/>
                <w:sz w:val="18"/>
                <w:szCs w:val="18"/>
              </w:rPr>
              <w:t>http://www.beiliu.gov.cn/</w:t>
            </w:r>
            <w:r>
              <w:rPr>
                <w:rFonts w:hint="eastAsia" w:ascii="仿宋_GB2312" w:hAnsi="Times New Roman" w:eastAsia="仿宋_GB2312" w:cs="Times New Roman"/>
                <w:kern w:val="2"/>
                <w:sz w:val="18"/>
                <w:szCs w:val="18"/>
                <w:lang w:val="en-US" w:eastAsia="zh-CN" w:bidi="ar-SA"/>
              </w:rPr>
              <w:t>、电话查询：</w:t>
            </w:r>
            <w:r>
              <w:rPr>
                <w:rFonts w:hint="eastAsia" w:ascii="仿宋_GB2312" w:hAnsi="Times New Roman" w:eastAsia="仿宋_GB2312"/>
                <w:sz w:val="18"/>
                <w:szCs w:val="18"/>
                <w:lang w:eastAsia="zh-CN"/>
              </w:rPr>
              <w:t>0775—</w:t>
            </w:r>
            <w:r>
              <w:rPr>
                <w:rFonts w:hint="eastAsia" w:ascii="仿宋_GB2312" w:hAnsi="Times New Roman" w:eastAsia="仿宋_GB2312"/>
                <w:sz w:val="18"/>
                <w:szCs w:val="18"/>
                <w:lang w:val="en-US" w:eastAsia="zh-CN"/>
              </w:rPr>
              <w:t>6228051</w:t>
            </w:r>
            <w:r>
              <w:rPr>
                <w:rFonts w:hint="eastAsia" w:ascii="仿宋_GB2312" w:hAnsi="Times New Roman" w:eastAsia="仿宋_GB2312"/>
                <w:sz w:val="18"/>
                <w:szCs w:val="18"/>
                <w:lang w:eastAsia="zh-CN"/>
              </w:rPr>
              <w:t>和所在村委及时向社会公布。</w:t>
            </w:r>
          </w:p>
          <w:p>
            <w:pPr>
              <w:pStyle w:val="2"/>
              <w:keepNext w:val="0"/>
              <w:keepLines w:val="0"/>
              <w:pageBreakBefore w:val="0"/>
              <w:widowControl/>
              <w:kinsoku/>
              <w:wordWrap/>
              <w:overflowPunct/>
              <w:topLinePunct w:val="0"/>
              <w:autoSpaceDE/>
              <w:autoSpaceDN/>
              <w:bidi w:val="0"/>
              <w:adjustRightInd/>
              <w:snapToGrid w:val="0"/>
              <w:spacing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监督渠道：举报电话</w:t>
            </w:r>
            <w:r>
              <w:rPr>
                <w:rFonts w:hint="eastAsia" w:ascii="仿宋_GB2312" w:hAnsi="Times New Roman" w:eastAsia="仿宋_GB2312"/>
                <w:sz w:val="18"/>
                <w:szCs w:val="18"/>
                <w:lang w:eastAsia="zh-CN"/>
              </w:rPr>
              <w:t>：</w:t>
            </w:r>
            <w:r>
              <w:rPr>
                <w:rFonts w:hint="eastAsia" w:ascii="仿宋_GB2312" w:hAnsi="Times New Roman" w:eastAsia="仿宋_GB2312"/>
                <w:sz w:val="18"/>
                <w:szCs w:val="18"/>
                <w:lang w:val="en-US" w:eastAsia="zh-CN"/>
              </w:rPr>
              <w:t>0775-6228051</w:t>
            </w:r>
            <w:r>
              <w:rPr>
                <w:rFonts w:hint="eastAsia" w:ascii="仿宋_GB2312" w:hAnsi="Times New Roman" w:eastAsia="仿宋_GB2312"/>
                <w:sz w:val="18"/>
                <w:szCs w:val="18"/>
              </w:rPr>
              <w:t>、</w:t>
            </w:r>
            <w:r>
              <w:rPr>
                <w:rFonts w:hint="eastAsia" w:ascii="仿宋_GB2312" w:hAnsi="Times New Roman" w:eastAsia="仿宋_GB2312"/>
                <w:sz w:val="18"/>
                <w:szCs w:val="18"/>
                <w:lang w:eastAsia="zh-CN"/>
              </w:rPr>
              <w:t>地址：</w:t>
            </w:r>
            <w:r>
              <w:rPr>
                <w:rFonts w:hint="eastAsia" w:ascii="仿宋_GB2312" w:hAnsi="Times New Roman" w:eastAsia="仿宋_GB2312"/>
                <w:sz w:val="18"/>
                <w:szCs w:val="18"/>
                <w:lang w:val="en-US" w:eastAsia="zh-CN"/>
              </w:rPr>
              <w:t>北流市</w:t>
            </w:r>
            <w:r>
              <w:rPr>
                <w:rFonts w:hint="eastAsia" w:ascii="仿宋_GB2312" w:hAnsi="Times New Roman" w:eastAsia="仿宋_GB2312"/>
                <w:sz w:val="18"/>
                <w:szCs w:val="18"/>
                <w:lang w:eastAsia="zh-CN"/>
              </w:rPr>
              <w:t>农业农村局</w:t>
            </w:r>
            <w:r>
              <w:rPr>
                <w:rFonts w:hint="eastAsia" w:ascii="仿宋_GB2312" w:hAnsi="Times New Roman" w:eastAsia="仿宋_GB2312"/>
                <w:sz w:val="18"/>
                <w:szCs w:val="18"/>
                <w:lang w:val="en-US" w:eastAsia="zh-CN"/>
              </w:rPr>
              <w:t>北流市沿江北路路0005号</w:t>
            </w:r>
            <w:r>
              <w:rPr>
                <w:rFonts w:hint="eastAsia" w:ascii="仿宋_GB2312" w:hAnsi="Times New Roman" w:eastAsia="仿宋_GB2312"/>
                <w:sz w:val="18"/>
                <w:szCs w:val="18"/>
              </w:rPr>
              <w:t>。</w:t>
            </w:r>
          </w:p>
          <w:p>
            <w:pPr>
              <w:pStyle w:val="2"/>
              <w:keepNext w:val="0"/>
              <w:keepLines w:val="0"/>
              <w:pageBreakBefore w:val="0"/>
              <w:widowControl/>
              <w:kinsoku/>
              <w:wordWrap/>
              <w:overflowPunct/>
              <w:topLinePunct w:val="0"/>
              <w:autoSpaceDE/>
              <w:autoSpaceDN/>
              <w:bidi w:val="0"/>
              <w:adjustRightInd/>
              <w:snapToGrid w:val="0"/>
              <w:spacing w:line="240" w:lineRule="exact"/>
              <w:textAlignment w:val="auto"/>
              <w:rPr>
                <w:rFonts w:hint="eastAsia" w:ascii="仿宋_GB2312" w:hAnsi="Times New Roman" w:eastAsia="仿宋_GB2312"/>
                <w:sz w:val="18"/>
                <w:szCs w:val="18"/>
                <w:lang w:eastAsia="zh-CN"/>
              </w:rPr>
            </w:pPr>
          </w:p>
        </w:tc>
        <w:tc>
          <w:tcPr>
            <w:tcW w:w="1140" w:type="dxa"/>
            <w:tcBorders>
              <w:top w:val="single" w:color="auto" w:sz="4" w:space="0"/>
              <w:left w:val="single" w:color="auto" w:sz="4" w:space="0"/>
              <w:bottom w:val="single" w:color="auto" w:sz="4" w:space="0"/>
              <w:right w:val="single" w:color="auto" w:sz="4" w:space="0"/>
            </w:tcBorders>
            <w:vAlign w:val="top"/>
          </w:tcPr>
          <w:p>
            <w:pPr>
              <w:rPr>
                <w:rFonts w:hint="eastAsia" w:ascii="仿宋_GB2312" w:hAnsi="Times New Roman" w:eastAsia="仿宋_GB2312"/>
                <w:sz w:val="18"/>
                <w:szCs w:val="18"/>
              </w:rPr>
            </w:pPr>
            <w:r>
              <w:rPr>
                <w:rFonts w:hint="eastAsia" w:ascii="仿宋_GB2312" w:hAnsi="Times New Roman" w:eastAsia="仿宋_GB2312"/>
                <w:sz w:val="18"/>
                <w:szCs w:val="18"/>
              </w:rPr>
              <w:t>《农业生产发展资金管理办法》、《财政部 农业部关于全面推开农业“三项补贴”改革工作的通知》</w:t>
            </w:r>
          </w:p>
        </w:tc>
        <w:tc>
          <w:tcPr>
            <w:tcW w:w="1140" w:type="dxa"/>
            <w:tcBorders>
              <w:top w:val="single" w:color="auto" w:sz="4" w:space="0"/>
              <w:left w:val="single" w:color="auto" w:sz="4" w:space="0"/>
              <w:bottom w:val="single" w:color="auto" w:sz="4" w:space="0"/>
              <w:right w:val="single" w:color="auto" w:sz="4" w:space="0"/>
            </w:tcBorders>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720" w:type="dxa"/>
            <w:tcBorders>
              <w:top w:val="single" w:color="auto" w:sz="4" w:space="0"/>
              <w:left w:val="single" w:color="auto" w:sz="4" w:space="0"/>
              <w:bottom w:val="single" w:color="auto" w:sz="4" w:space="0"/>
              <w:right w:val="single" w:color="auto" w:sz="4" w:space="0"/>
            </w:tcBorders>
            <w:vAlign w:val="top"/>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ascii="黑体" w:hAnsi="宋体" w:eastAsia="黑体" w:cs="宋体"/>
                <w:color w:val="000000"/>
                <w:kern w:val="0"/>
                <w:sz w:val="22"/>
              </w:rPr>
            </w:pPr>
          </w:p>
        </w:tc>
        <w:tc>
          <w:tcPr>
            <w:tcW w:w="1113" w:type="dxa"/>
            <w:tcBorders>
              <w:top w:val="single" w:color="auto" w:sz="4" w:space="0"/>
              <w:left w:val="single" w:color="auto" w:sz="4" w:space="0"/>
              <w:bottom w:val="single" w:color="auto" w:sz="4" w:space="0"/>
              <w:right w:val="single" w:color="auto" w:sz="4" w:space="0"/>
            </w:tcBorders>
            <w:vAlign w:val="top"/>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（http://www.beiliu.gov.cn/）</w:t>
            </w:r>
          </w:p>
          <w:p>
            <w:pPr>
              <w:spacing w:line="240" w:lineRule="exact"/>
              <w:jc w:val="left"/>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olor w:val="000000"/>
                <w:sz w:val="18"/>
                <w:szCs w:val="18"/>
              </w:rPr>
            </w:pPr>
            <w:r>
              <w:rPr>
                <w:rFonts w:hint="eastAsia" w:ascii="仿宋_GB2312" w:hAnsi="仿宋" w:eastAsia="仿宋_GB2312"/>
                <w:color w:val="000000"/>
                <w:sz w:val="18"/>
                <w:szCs w:val="18"/>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olor w:val="000000"/>
                <w:sz w:val="18"/>
                <w:szCs w:val="18"/>
              </w:rPr>
            </w:pPr>
            <w:r>
              <w:rPr>
                <w:rFonts w:hint="eastAsia" w:ascii="仿宋_GB2312" w:hAnsi="仿宋" w:eastAsia="仿宋_GB2312"/>
                <w:color w:val="000000"/>
                <w:sz w:val="18"/>
                <w:szCs w:val="18"/>
              </w:rPr>
              <w:t>　</w:t>
            </w:r>
          </w:p>
        </w:tc>
        <w:tc>
          <w:tcPr>
            <w:tcW w:w="551"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Pr>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3</w:t>
            </w:r>
          </w:p>
        </w:tc>
        <w:tc>
          <w:tcPr>
            <w:tcW w:w="721"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hint="eastAsia" w:ascii="仿宋_GB2312" w:hAnsi="宋体" w:eastAsia="仿宋_GB2312"/>
                <w:sz w:val="18"/>
                <w:szCs w:val="18"/>
              </w:rPr>
            </w:pPr>
            <w:r>
              <w:rPr>
                <w:rFonts w:hint="eastAsia" w:ascii="仿宋_GB2312" w:hAnsi="宋体" w:eastAsia="仿宋_GB2312"/>
                <w:sz w:val="18"/>
                <w:szCs w:val="18"/>
              </w:rPr>
              <w:t>农业生产发展资金</w:t>
            </w:r>
          </w:p>
        </w:tc>
        <w:tc>
          <w:tcPr>
            <w:tcW w:w="754"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支持新型农业经营主</w:t>
            </w:r>
            <w:r>
              <w:rPr>
                <w:rFonts w:hint="eastAsia" w:ascii="仿宋_GB2312" w:hAnsi="Times New Roman" w:eastAsia="仿宋_GB2312"/>
                <w:sz w:val="18"/>
                <w:szCs w:val="18"/>
                <w:lang w:val="en-US" w:eastAsia="zh-CN"/>
              </w:rPr>
              <w:t xml:space="preserve"> </w:t>
            </w:r>
            <w:r>
              <w:rPr>
                <w:rFonts w:hint="eastAsia" w:ascii="仿宋_GB2312" w:hAnsi="Times New Roman" w:eastAsia="仿宋_GB2312"/>
                <w:sz w:val="18"/>
                <w:szCs w:val="18"/>
              </w:rPr>
              <w:t>体</w:t>
            </w:r>
          </w:p>
        </w:tc>
        <w:tc>
          <w:tcPr>
            <w:tcW w:w="5295"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政策依据</w:t>
            </w:r>
            <w:r>
              <w:rPr>
                <w:rFonts w:hint="eastAsia" w:ascii="仿宋_GB2312" w:hAnsi="Times New Roman" w:eastAsia="仿宋_GB2312"/>
                <w:sz w:val="18"/>
                <w:szCs w:val="18"/>
                <w:lang w:eastAsia="zh-CN"/>
              </w:rPr>
              <w:t>：《</w:t>
            </w:r>
            <w:r>
              <w:rPr>
                <w:rFonts w:hint="eastAsia" w:ascii="仿宋_GB2312" w:hAnsi="Times New Roman" w:eastAsia="仿宋_GB2312"/>
                <w:sz w:val="18"/>
                <w:szCs w:val="18"/>
              </w:rPr>
              <w:t>广西壮族自治区财政厅关于提前下达2020年自治区农业专项转移支付资金的通知</w:t>
            </w:r>
            <w:r>
              <w:rPr>
                <w:rFonts w:hint="eastAsia" w:ascii="仿宋_GB2312" w:hAnsi="Times New Roman" w:eastAsia="仿宋_GB2312"/>
                <w:sz w:val="18"/>
                <w:szCs w:val="18"/>
                <w:lang w:eastAsia="zh-CN"/>
              </w:rPr>
              <w:t>》、《关于印发《广西壮族自治区家庭农场培育计划（2019—2022年）》的通知》等文件。</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申请指南：补贴对象</w:t>
            </w:r>
            <w:r>
              <w:rPr>
                <w:rFonts w:hint="eastAsia" w:ascii="仿宋_GB2312" w:hAnsi="Times New Roman" w:eastAsia="仿宋_GB2312"/>
                <w:sz w:val="18"/>
                <w:szCs w:val="18"/>
                <w:lang w:eastAsia="zh-CN"/>
              </w:rPr>
              <w:t>：玉林市级以上龙头企业、示范性农民专业合作社、示范性家庭农场；</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补贴范围</w:t>
            </w:r>
            <w:r>
              <w:rPr>
                <w:rFonts w:hint="eastAsia" w:ascii="仿宋_GB2312" w:hAnsi="Times New Roman" w:eastAsia="仿宋_GB2312"/>
                <w:sz w:val="18"/>
                <w:szCs w:val="18"/>
                <w:lang w:eastAsia="zh-CN"/>
              </w:rPr>
              <w:t>：</w:t>
            </w:r>
            <w:r>
              <w:rPr>
                <w:rFonts w:hint="eastAsia" w:ascii="仿宋_GB2312" w:hAnsi="Times New Roman" w:eastAsia="仿宋_GB2312"/>
                <w:sz w:val="18"/>
                <w:szCs w:val="18"/>
                <w:lang w:val="en-US" w:eastAsia="zh-CN"/>
              </w:rPr>
              <w:t>北流市</w:t>
            </w:r>
            <w:r>
              <w:rPr>
                <w:rFonts w:hint="eastAsia" w:ascii="仿宋_GB2312" w:hAnsi="Times New Roman" w:eastAsia="仿宋_GB2312"/>
                <w:sz w:val="18"/>
                <w:szCs w:val="18"/>
                <w:lang w:eastAsia="zh-CN"/>
              </w:rPr>
              <w:t>辖区内的农业龙头企业、示范性农民专业合作社、示范性家庭农场等。</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补贴标准</w:t>
            </w:r>
            <w:r>
              <w:rPr>
                <w:rFonts w:hint="eastAsia" w:ascii="仿宋_GB2312" w:hAnsi="Times New Roman" w:eastAsia="仿宋_GB2312"/>
                <w:sz w:val="18"/>
                <w:szCs w:val="18"/>
                <w:lang w:eastAsia="zh-CN"/>
              </w:rPr>
              <w:t>：根据中央、自治区下达的资金分配表以及任务指标安排补贴资金。</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申请程序</w:t>
            </w:r>
            <w:r>
              <w:rPr>
                <w:rFonts w:hint="eastAsia" w:ascii="仿宋_GB2312" w:hAnsi="Times New Roman" w:eastAsia="仿宋_GB2312"/>
                <w:sz w:val="18"/>
                <w:szCs w:val="18"/>
                <w:lang w:eastAsia="zh-CN"/>
              </w:rPr>
              <w:t>：符合支持标准的经营主体按要求提供申报资料，报</w:t>
            </w:r>
            <w:r>
              <w:rPr>
                <w:rFonts w:hint="eastAsia" w:ascii="仿宋_GB2312" w:hAnsi="Times New Roman" w:eastAsia="仿宋_GB2312"/>
                <w:sz w:val="18"/>
                <w:szCs w:val="18"/>
                <w:lang w:val="en-US" w:eastAsia="zh-CN"/>
              </w:rPr>
              <w:t>北流市</w:t>
            </w:r>
            <w:r>
              <w:rPr>
                <w:rFonts w:hint="eastAsia" w:ascii="仿宋_GB2312" w:hAnsi="Times New Roman" w:eastAsia="仿宋_GB2312"/>
                <w:sz w:val="18"/>
                <w:szCs w:val="18"/>
                <w:lang w:eastAsia="zh-CN"/>
              </w:rPr>
              <w:t>农村经济经营共指导站收集汇总，后由区财政部门、农业农村局根据工作方案，对申报主体的真实性和合理性进行验收，通过后，下达扶持资金。</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lang w:eastAsia="zh-CN"/>
              </w:rPr>
              <w:t>申请材料：（一）按要求填写新型农业经营主体扶持资金项目申报书；</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lang w:eastAsia="zh-CN"/>
              </w:rPr>
              <w:t>（二）申报单位法人营业执照、组织机构代码证、税务登记证书和银行开户证明材料（复印件）；</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lang w:eastAsia="zh-CN"/>
              </w:rPr>
              <w:t>（三）无公害农产品、绿色食品、有机产品、农产品地理标志等认证证书，获得国家、自治区、市、区的各类荣誉证书和认证证书（文件）或其它佐证材料（复印件），获得自治区级或市级农业产业化重点龙头企业证书。</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lang w:eastAsia="zh-CN"/>
              </w:rPr>
              <w:t>（四）土地流转合同等相关材料（复印件）。</w:t>
            </w:r>
          </w:p>
          <w:p>
            <w:pPr>
              <w:spacing w:line="240" w:lineRule="exact"/>
              <w:rPr>
                <w:rFonts w:ascii="仿宋_GB2312" w:hAnsi="宋体" w:eastAsia="仿宋_GB2312" w:cs="宋体"/>
                <w:color w:val="333333"/>
                <w:kern w:val="0"/>
                <w:sz w:val="24"/>
                <w:szCs w:val="24"/>
              </w:rPr>
            </w:pPr>
            <w:r>
              <w:rPr>
                <w:rFonts w:hint="eastAsia" w:ascii="仿宋_GB2312" w:hAnsi="Times New Roman" w:eastAsia="仿宋_GB2312"/>
                <w:sz w:val="18"/>
                <w:szCs w:val="18"/>
                <w:lang w:eastAsia="zh-CN"/>
              </w:rPr>
              <w:t>（五）带动当地产业发展或农民增收能力和实绩记录。</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lang w:eastAsia="zh-CN"/>
              </w:rPr>
              <w:t>（六）申报主体提供完善的内部管理制度、专职财务会计人员、依法设立的会计账簿等（复印件）。</w:t>
            </w:r>
          </w:p>
          <w:p>
            <w:pPr>
              <w:spacing w:line="240" w:lineRule="exact"/>
              <w:rPr>
                <w:rFonts w:hint="default" w:ascii="仿宋_GB2312" w:hAnsi="Times New Roman" w:eastAsia="仿宋_GB2312"/>
                <w:sz w:val="18"/>
                <w:szCs w:val="18"/>
                <w:lang w:val="en-US" w:eastAsia="zh-CN"/>
              </w:rPr>
            </w:pPr>
            <w:r>
              <w:rPr>
                <w:rFonts w:hint="eastAsia" w:ascii="仿宋_GB2312" w:hAnsi="Times New Roman" w:eastAsia="仿宋_GB2312"/>
                <w:sz w:val="18"/>
                <w:szCs w:val="18"/>
              </w:rPr>
              <w:t>咨询电话</w:t>
            </w:r>
            <w:r>
              <w:rPr>
                <w:rFonts w:hint="eastAsia" w:ascii="仿宋_GB2312" w:hAnsi="Times New Roman" w:eastAsia="仿宋_GB2312"/>
                <w:sz w:val="18"/>
                <w:szCs w:val="18"/>
                <w:lang w:eastAsia="zh-CN"/>
              </w:rPr>
              <w:t>：</w:t>
            </w:r>
            <w:r>
              <w:rPr>
                <w:rFonts w:hint="eastAsia" w:ascii="仿宋_GB2312" w:hAnsi="Times New Roman" w:eastAsia="仿宋_GB2312"/>
                <w:sz w:val="18"/>
                <w:szCs w:val="18"/>
                <w:lang w:val="en-US" w:eastAsia="zh-CN"/>
              </w:rPr>
              <w:t>0775-6229195</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受理单位</w:t>
            </w:r>
            <w:r>
              <w:rPr>
                <w:rFonts w:hint="eastAsia" w:ascii="仿宋_GB2312" w:hAnsi="Times New Roman" w:eastAsia="仿宋_GB2312"/>
                <w:sz w:val="18"/>
                <w:szCs w:val="18"/>
                <w:lang w:eastAsia="zh-CN"/>
              </w:rPr>
              <w:t>：</w:t>
            </w:r>
            <w:r>
              <w:rPr>
                <w:rFonts w:hint="eastAsia" w:ascii="仿宋_GB2312" w:hAnsi="Times New Roman" w:eastAsia="仿宋_GB2312"/>
                <w:sz w:val="18"/>
                <w:szCs w:val="18"/>
                <w:lang w:val="en-US" w:eastAsia="zh-CN"/>
              </w:rPr>
              <w:t>北流市</w:t>
            </w:r>
            <w:r>
              <w:rPr>
                <w:rFonts w:hint="eastAsia" w:ascii="仿宋_GB2312" w:hAnsi="Times New Roman" w:eastAsia="仿宋_GB2312"/>
                <w:sz w:val="18"/>
                <w:szCs w:val="18"/>
                <w:lang w:eastAsia="zh-CN"/>
              </w:rPr>
              <w:t>农村经济经营工作指导站；</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办理时限</w:t>
            </w:r>
            <w:r>
              <w:rPr>
                <w:rFonts w:hint="eastAsia" w:ascii="仿宋_GB2312" w:hAnsi="Times New Roman" w:eastAsia="仿宋_GB2312"/>
                <w:sz w:val="18"/>
                <w:szCs w:val="18"/>
                <w:lang w:eastAsia="zh-CN"/>
              </w:rPr>
              <w:t>：上级有关部门下达支持经营主体发展资金后当年内办理。</w:t>
            </w:r>
          </w:p>
          <w:p>
            <w:pPr>
              <w:spacing w:line="240" w:lineRule="exact"/>
              <w:rPr>
                <w:rFonts w:hint="default" w:ascii="仿宋_GB2312" w:hAnsi="Times New Roman" w:eastAsia="仿宋_GB2312"/>
                <w:sz w:val="18"/>
                <w:szCs w:val="18"/>
                <w:lang w:val="en-US" w:eastAsia="zh-CN"/>
              </w:rPr>
            </w:pPr>
            <w:r>
              <w:rPr>
                <w:rFonts w:hint="eastAsia" w:ascii="仿宋_GB2312" w:hAnsi="Times New Roman" w:eastAsia="仿宋_GB2312"/>
                <w:sz w:val="18"/>
                <w:szCs w:val="18"/>
              </w:rPr>
              <w:t>联系方式</w:t>
            </w:r>
            <w:r>
              <w:rPr>
                <w:rFonts w:hint="eastAsia" w:ascii="仿宋_GB2312" w:hAnsi="Times New Roman" w:eastAsia="仿宋_GB2312"/>
                <w:sz w:val="18"/>
                <w:szCs w:val="18"/>
                <w:lang w:eastAsia="zh-CN"/>
              </w:rPr>
              <w:t>：</w:t>
            </w:r>
            <w:r>
              <w:rPr>
                <w:rFonts w:hint="eastAsia" w:ascii="仿宋_GB2312" w:hAnsi="Times New Roman" w:eastAsia="仿宋_GB2312"/>
                <w:sz w:val="18"/>
                <w:szCs w:val="18"/>
                <w:lang w:val="en-US" w:eastAsia="zh-CN"/>
              </w:rPr>
              <w:t>0775-6229195；</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补贴结果</w:t>
            </w:r>
            <w:r>
              <w:rPr>
                <w:rFonts w:hint="eastAsia" w:ascii="仿宋_GB2312" w:hAnsi="Times New Roman" w:eastAsia="仿宋_GB2312"/>
                <w:sz w:val="18"/>
                <w:szCs w:val="18"/>
                <w:lang w:eastAsia="zh-CN"/>
              </w:rPr>
              <w:t>：支持新型农业经营主体发展资金的情况通过玉州区政府网及相关经营主体所在村委及时向社会公布，经公示无异议后，通过财政部门将资金拨付给相关经营主体。</w:t>
            </w:r>
          </w:p>
          <w:p>
            <w:pPr>
              <w:pStyle w:val="2"/>
              <w:keepNext w:val="0"/>
              <w:keepLines w:val="0"/>
              <w:pageBreakBefore w:val="0"/>
              <w:widowControl/>
              <w:kinsoku/>
              <w:wordWrap/>
              <w:overflowPunct/>
              <w:topLinePunct w:val="0"/>
              <w:autoSpaceDE/>
              <w:autoSpaceDN/>
              <w:bidi w:val="0"/>
              <w:adjustRightInd/>
              <w:snapToGrid w:val="0"/>
              <w:spacing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监督渠道：举报电话</w:t>
            </w:r>
            <w:r>
              <w:rPr>
                <w:rFonts w:hint="eastAsia" w:ascii="仿宋_GB2312" w:hAnsi="Times New Roman" w:eastAsia="仿宋_GB2312"/>
                <w:sz w:val="18"/>
                <w:szCs w:val="18"/>
                <w:lang w:eastAsia="zh-CN"/>
              </w:rPr>
              <w:t>：</w:t>
            </w:r>
            <w:r>
              <w:rPr>
                <w:rFonts w:hint="eastAsia" w:ascii="仿宋_GB2312" w:hAnsi="Times New Roman" w:eastAsia="仿宋_GB2312"/>
                <w:sz w:val="18"/>
                <w:szCs w:val="18"/>
                <w:lang w:val="en-US" w:eastAsia="zh-CN"/>
              </w:rPr>
              <w:t>0775-6229195</w:t>
            </w:r>
            <w:r>
              <w:rPr>
                <w:rFonts w:hint="eastAsia" w:ascii="仿宋_GB2312" w:hAnsi="Times New Roman" w:eastAsia="仿宋_GB2312"/>
                <w:sz w:val="18"/>
                <w:szCs w:val="18"/>
              </w:rPr>
              <w:t>、</w:t>
            </w:r>
            <w:r>
              <w:rPr>
                <w:rFonts w:hint="eastAsia" w:ascii="仿宋_GB2312" w:hAnsi="Times New Roman" w:eastAsia="仿宋_GB2312"/>
                <w:sz w:val="18"/>
                <w:szCs w:val="18"/>
                <w:lang w:eastAsia="zh-CN"/>
              </w:rPr>
              <w:t>地址：</w:t>
            </w:r>
            <w:r>
              <w:rPr>
                <w:rFonts w:hint="eastAsia" w:ascii="仿宋_GB2312" w:hAnsi="Times New Roman" w:eastAsia="仿宋_GB2312"/>
                <w:sz w:val="18"/>
                <w:szCs w:val="18"/>
                <w:lang w:val="en-US" w:eastAsia="zh-CN"/>
              </w:rPr>
              <w:t>北流市</w:t>
            </w:r>
            <w:r>
              <w:rPr>
                <w:rFonts w:hint="eastAsia" w:ascii="仿宋_GB2312" w:hAnsi="Times New Roman" w:eastAsia="仿宋_GB2312"/>
                <w:sz w:val="18"/>
                <w:szCs w:val="18"/>
                <w:lang w:eastAsia="zh-CN"/>
              </w:rPr>
              <w:t>农业农村局</w:t>
            </w:r>
            <w:r>
              <w:rPr>
                <w:rFonts w:hint="eastAsia" w:ascii="仿宋_GB2312" w:hAnsi="Times New Roman" w:eastAsia="仿宋_GB2312"/>
                <w:sz w:val="18"/>
                <w:szCs w:val="18"/>
                <w:lang w:val="en-US" w:eastAsia="zh-CN"/>
              </w:rPr>
              <w:t>北流市沿江北路0005号</w:t>
            </w:r>
            <w:r>
              <w:rPr>
                <w:rFonts w:hint="eastAsia" w:ascii="仿宋_GB2312" w:hAnsi="Times New Roman" w:eastAsia="仿宋_GB2312"/>
                <w:sz w:val="18"/>
                <w:szCs w:val="18"/>
              </w:rPr>
              <w:t>。</w:t>
            </w:r>
          </w:p>
          <w:p>
            <w:pPr>
              <w:pStyle w:val="2"/>
              <w:keepNext w:val="0"/>
              <w:keepLines w:val="0"/>
              <w:pageBreakBefore w:val="0"/>
              <w:widowControl/>
              <w:kinsoku/>
              <w:wordWrap/>
              <w:overflowPunct/>
              <w:topLinePunct w:val="0"/>
              <w:autoSpaceDE/>
              <w:autoSpaceDN/>
              <w:bidi w:val="0"/>
              <w:adjustRightInd/>
              <w:snapToGrid w:val="0"/>
              <w:spacing w:line="240" w:lineRule="exact"/>
              <w:textAlignment w:val="auto"/>
              <w:rPr>
                <w:rFonts w:hint="eastAsia" w:ascii="仿宋_GB2312" w:hAnsi="Times New Roman" w:eastAsia="仿宋_GB2312"/>
                <w:sz w:val="18"/>
                <w:szCs w:val="18"/>
              </w:rPr>
            </w:pPr>
          </w:p>
          <w:p>
            <w:pPr>
              <w:pStyle w:val="2"/>
              <w:keepNext w:val="0"/>
              <w:keepLines w:val="0"/>
              <w:pageBreakBefore w:val="0"/>
              <w:widowControl/>
              <w:kinsoku/>
              <w:wordWrap/>
              <w:overflowPunct/>
              <w:topLinePunct w:val="0"/>
              <w:autoSpaceDE/>
              <w:autoSpaceDN/>
              <w:bidi w:val="0"/>
              <w:adjustRightInd/>
              <w:snapToGrid w:val="0"/>
              <w:spacing w:line="240" w:lineRule="exact"/>
              <w:textAlignment w:val="auto"/>
              <w:rPr>
                <w:rFonts w:hint="eastAsia" w:ascii="仿宋_GB2312" w:hAnsi="Times New Roman" w:eastAsia="仿宋_GB2312"/>
                <w:sz w:val="18"/>
                <w:szCs w:val="18"/>
              </w:rPr>
            </w:pPr>
          </w:p>
          <w:p>
            <w:pPr>
              <w:pStyle w:val="2"/>
              <w:keepNext w:val="0"/>
              <w:keepLines w:val="0"/>
              <w:pageBreakBefore w:val="0"/>
              <w:widowControl/>
              <w:kinsoku/>
              <w:wordWrap/>
              <w:overflowPunct/>
              <w:topLinePunct w:val="0"/>
              <w:autoSpaceDE/>
              <w:autoSpaceDN/>
              <w:bidi w:val="0"/>
              <w:adjustRightInd/>
              <w:snapToGrid w:val="0"/>
              <w:spacing w:line="240" w:lineRule="exact"/>
              <w:textAlignment w:val="auto"/>
              <w:rPr>
                <w:rFonts w:hint="eastAsia" w:ascii="仿宋_GB2312" w:hAnsi="Times New Roman" w:eastAsia="仿宋_GB2312"/>
                <w:sz w:val="18"/>
                <w:szCs w:val="18"/>
              </w:rPr>
            </w:pPr>
          </w:p>
        </w:tc>
        <w:tc>
          <w:tcPr>
            <w:tcW w:w="1140" w:type="dxa"/>
            <w:tcBorders>
              <w:top w:val="single" w:color="auto" w:sz="4" w:space="0"/>
              <w:left w:val="single" w:color="auto" w:sz="4" w:space="0"/>
              <w:bottom w:val="single" w:color="auto" w:sz="4" w:space="0"/>
              <w:right w:val="single" w:color="auto" w:sz="4" w:space="0"/>
            </w:tcBorders>
            <w:vAlign w:val="top"/>
          </w:tcPr>
          <w:p>
            <w:pPr>
              <w:rPr>
                <w:rFonts w:hint="eastAsia" w:ascii="仿宋_GB2312" w:hAnsi="Times New Roman" w:eastAsia="仿宋_GB2312"/>
                <w:sz w:val="18"/>
                <w:szCs w:val="18"/>
              </w:rPr>
            </w:pPr>
            <w:r>
              <w:rPr>
                <w:rFonts w:hint="eastAsia" w:ascii="仿宋_GB2312" w:hAnsi="Times New Roman" w:eastAsia="仿宋_GB2312"/>
                <w:sz w:val="18"/>
                <w:szCs w:val="18"/>
              </w:rPr>
              <w:t>《农业生产发展资金管理办法》</w:t>
            </w:r>
          </w:p>
        </w:tc>
        <w:tc>
          <w:tcPr>
            <w:tcW w:w="1140" w:type="dxa"/>
            <w:tcBorders>
              <w:top w:val="single" w:color="auto" w:sz="4" w:space="0"/>
              <w:left w:val="single" w:color="auto" w:sz="4" w:space="0"/>
              <w:bottom w:val="single" w:color="auto" w:sz="4" w:space="0"/>
              <w:right w:val="single" w:color="auto" w:sz="4" w:space="0"/>
            </w:tcBorders>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720" w:type="dxa"/>
            <w:tcBorders>
              <w:top w:val="single" w:color="auto" w:sz="4" w:space="0"/>
              <w:left w:val="single" w:color="auto" w:sz="4" w:space="0"/>
              <w:bottom w:val="single" w:color="auto" w:sz="4" w:space="0"/>
              <w:right w:val="single" w:color="auto" w:sz="4" w:space="0"/>
            </w:tcBorders>
            <w:vAlign w:val="top"/>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ascii="黑体" w:hAnsi="宋体" w:eastAsia="黑体" w:cs="宋体"/>
                <w:color w:val="000000"/>
                <w:kern w:val="0"/>
                <w:sz w:val="22"/>
              </w:rPr>
            </w:pPr>
          </w:p>
        </w:tc>
        <w:tc>
          <w:tcPr>
            <w:tcW w:w="1113" w:type="dxa"/>
            <w:tcBorders>
              <w:top w:val="single" w:color="auto" w:sz="4" w:space="0"/>
              <w:left w:val="single" w:color="auto" w:sz="4" w:space="0"/>
              <w:bottom w:val="single" w:color="auto" w:sz="4" w:space="0"/>
              <w:right w:val="single" w:color="auto" w:sz="4" w:space="0"/>
            </w:tcBorders>
            <w:vAlign w:val="top"/>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（http://www.beiliu.gov.cn/）</w:t>
            </w:r>
          </w:p>
          <w:p>
            <w:pPr>
              <w:spacing w:line="240" w:lineRule="exact"/>
              <w:jc w:val="left"/>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olor w:val="000000"/>
                <w:sz w:val="18"/>
                <w:szCs w:val="18"/>
              </w:rPr>
            </w:pPr>
            <w:r>
              <w:rPr>
                <w:rFonts w:hint="eastAsia" w:ascii="仿宋_GB2312" w:hAnsi="仿宋" w:eastAsia="仿宋_GB2312"/>
                <w:color w:val="000000"/>
                <w:sz w:val="18"/>
                <w:szCs w:val="18"/>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olor w:val="000000"/>
                <w:sz w:val="18"/>
                <w:szCs w:val="18"/>
              </w:rPr>
            </w:pPr>
            <w:r>
              <w:rPr>
                <w:rFonts w:hint="eastAsia" w:ascii="仿宋_GB2312" w:hAnsi="仿宋" w:eastAsia="仿宋_GB2312"/>
                <w:color w:val="000000"/>
                <w:sz w:val="18"/>
                <w:szCs w:val="18"/>
              </w:rPr>
              <w:t>　</w:t>
            </w:r>
          </w:p>
        </w:tc>
        <w:tc>
          <w:tcPr>
            <w:tcW w:w="551"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Height w:val="90" w:hRule="atLeast"/>
        </w:trPr>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4</w:t>
            </w:r>
          </w:p>
        </w:tc>
        <w:tc>
          <w:tcPr>
            <w:tcW w:w="721"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hint="eastAsia" w:ascii="仿宋_GB2312" w:hAnsi="宋体" w:eastAsia="仿宋_GB2312"/>
                <w:sz w:val="18"/>
                <w:szCs w:val="18"/>
              </w:rPr>
            </w:pPr>
            <w:r>
              <w:rPr>
                <w:rFonts w:hint="eastAsia" w:ascii="仿宋_GB2312" w:hAnsi="宋体" w:eastAsia="仿宋_GB2312"/>
                <w:sz w:val="18"/>
                <w:szCs w:val="18"/>
              </w:rPr>
              <w:t>动物防疫等补助经费</w:t>
            </w:r>
          </w:p>
        </w:tc>
        <w:tc>
          <w:tcPr>
            <w:tcW w:w="754"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强制扑杀、强制免疫和养殖环节无害化处理补</w:t>
            </w:r>
            <w:r>
              <w:rPr>
                <w:rFonts w:hint="eastAsia" w:ascii="仿宋_GB2312" w:hAnsi="Times New Roman" w:eastAsia="仿宋_GB2312"/>
                <w:sz w:val="18"/>
                <w:szCs w:val="18"/>
                <w:lang w:val="en-US" w:eastAsia="zh-CN"/>
              </w:rPr>
              <w:t xml:space="preserve"> </w:t>
            </w:r>
            <w:r>
              <w:rPr>
                <w:rFonts w:hint="eastAsia" w:ascii="仿宋_GB2312" w:hAnsi="Times New Roman" w:eastAsia="仿宋_GB2312"/>
                <w:sz w:val="18"/>
                <w:szCs w:val="18"/>
              </w:rPr>
              <w:t>助</w:t>
            </w:r>
          </w:p>
        </w:tc>
        <w:tc>
          <w:tcPr>
            <w:tcW w:w="5295"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政策依据；广西壮族自治区水产畜牧兽医局、广西壮族自治区财政厅《关于切实加强养殖环节病死猪无害化处理补助经费管理的通知》（桂渔牧财〔2016〕88号）</w:t>
            </w:r>
            <w:r>
              <w:rPr>
                <w:rFonts w:hint="eastAsia" w:ascii="仿宋_GB2312" w:hAnsi="Times New Roman" w:eastAsia="仿宋_GB2312"/>
                <w:sz w:val="18"/>
                <w:szCs w:val="18"/>
                <w:lang w:eastAsia="zh-CN"/>
              </w:rPr>
              <w:t>文件。</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申请指南：</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补贴对象</w:t>
            </w:r>
            <w:r>
              <w:rPr>
                <w:rFonts w:hint="eastAsia" w:ascii="仿宋_GB2312" w:hAnsi="Times New Roman" w:eastAsia="仿宋_GB2312"/>
                <w:sz w:val="18"/>
                <w:szCs w:val="18"/>
                <w:lang w:eastAsia="zh-CN"/>
              </w:rPr>
              <w:t>：生猪规模养殖场及散养户。</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补贴范围</w:t>
            </w:r>
            <w:r>
              <w:rPr>
                <w:rFonts w:hint="eastAsia" w:ascii="仿宋_GB2312" w:hAnsi="Times New Roman" w:eastAsia="仿宋_GB2312"/>
                <w:sz w:val="18"/>
                <w:szCs w:val="18"/>
                <w:lang w:eastAsia="zh-CN"/>
              </w:rPr>
              <w:t>：按照“谁处理、补给谁”的原则确定补助对象。生猪养殖场（户）自行无害化处理病死猪的，补助给养殖场（户）；由无害化处理厂（场）或在相关企业、组织（以下简称"无害化处理营运单位”）收集、暂存、无害化处理病死猪的，补助给无害化处理营运单位。</w:t>
            </w:r>
          </w:p>
          <w:p>
            <w:pPr>
              <w:spacing w:line="240" w:lineRule="exact"/>
              <w:rPr>
                <w:rFonts w:hint="default" w:ascii="仿宋_GB2312" w:hAnsi="Times New Roman" w:eastAsia="仿宋_GB2312"/>
                <w:sz w:val="18"/>
                <w:szCs w:val="18"/>
                <w:lang w:val="en-US" w:eastAsia="zh-CN"/>
              </w:rPr>
            </w:pPr>
            <w:r>
              <w:rPr>
                <w:rFonts w:hint="eastAsia" w:ascii="仿宋_GB2312" w:hAnsi="Times New Roman" w:eastAsia="仿宋_GB2312"/>
                <w:sz w:val="18"/>
                <w:szCs w:val="18"/>
              </w:rPr>
              <w:t>补贴标准</w:t>
            </w:r>
            <w:r>
              <w:rPr>
                <w:rFonts w:hint="eastAsia" w:ascii="仿宋_GB2312" w:hAnsi="Times New Roman" w:eastAsia="仿宋_GB2312"/>
                <w:sz w:val="18"/>
                <w:szCs w:val="18"/>
                <w:lang w:eastAsia="zh-CN"/>
              </w:rPr>
              <w:t>：中央补贴</w:t>
            </w:r>
            <w:r>
              <w:rPr>
                <w:rFonts w:hint="eastAsia" w:ascii="仿宋_GB2312" w:hAnsi="Times New Roman" w:eastAsia="仿宋_GB2312"/>
                <w:sz w:val="18"/>
                <w:szCs w:val="18"/>
                <w:lang w:val="en-US" w:eastAsia="zh-CN"/>
              </w:rPr>
              <w:t>60元，自治区10元，地方补贴10元</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申请程序</w:t>
            </w:r>
            <w:r>
              <w:rPr>
                <w:rFonts w:hint="eastAsia" w:ascii="仿宋_GB2312" w:hAnsi="Times New Roman" w:eastAsia="仿宋_GB2312"/>
                <w:sz w:val="18"/>
                <w:szCs w:val="18"/>
                <w:lang w:eastAsia="zh-CN"/>
              </w:rPr>
              <w:t>：在进行病死猪无害化处理前，养殖场（户）或无害化处理营运单位应将有关情况报告所在地县级动物卫生监督机构或乡（镇）水产畜牧兽医站，接报人员应详细记录报告情况。必要时，县级动物卫生监督机构或乡（镇）水产畜牧兽医站</w:t>
            </w:r>
            <w:r>
              <w:rPr>
                <w:rFonts w:hint="eastAsia" w:ascii="仿宋_GB2312" w:hAnsi="Times New Roman" w:eastAsia="仿宋_GB2312"/>
                <w:sz w:val="18"/>
                <w:szCs w:val="18"/>
                <w:lang w:val="en-US" w:eastAsia="zh-CN"/>
              </w:rPr>
              <w:t>以及乡镇政府、村委会</w:t>
            </w:r>
            <w:r>
              <w:rPr>
                <w:rFonts w:hint="eastAsia" w:ascii="仿宋_GB2312" w:hAnsi="Times New Roman" w:eastAsia="仿宋_GB2312"/>
                <w:sz w:val="18"/>
                <w:szCs w:val="18"/>
                <w:lang w:eastAsia="zh-CN"/>
              </w:rPr>
              <w:t>要派人到现场对病死猪无害化处理情况进行核实、确认，监督、指导做好无害化处理工作。</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申请材料</w:t>
            </w:r>
            <w:r>
              <w:rPr>
                <w:rFonts w:hint="eastAsia" w:ascii="仿宋_GB2312" w:hAnsi="Times New Roman" w:eastAsia="仿宋_GB2312"/>
                <w:sz w:val="18"/>
                <w:szCs w:val="18"/>
                <w:lang w:eastAsia="zh-CN"/>
              </w:rPr>
              <w:t>：</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lang w:eastAsia="zh-CN"/>
              </w:rPr>
              <w:t>1.自行无害化处理病死猪的养殖场（户）需提交以下申报材料：</w:t>
            </w:r>
          </w:p>
          <w:p>
            <w:pPr>
              <w:spacing w:line="240" w:lineRule="exact"/>
              <w:rPr>
                <w:rFonts w:hint="eastAsia" w:ascii="仿宋_GB2312" w:hAnsi="Times New Roman" w:eastAsia="仿宋_GB2312"/>
                <w:sz w:val="18"/>
                <w:szCs w:val="18"/>
                <w:lang w:eastAsia="zh-CN"/>
              </w:rPr>
            </w:pPr>
            <w:bookmarkStart w:id="1" w:name="bookmark22"/>
            <w:r>
              <w:rPr>
                <w:rFonts w:hint="eastAsia" w:ascii="仿宋_GB2312" w:hAnsi="Times New Roman" w:eastAsia="仿宋_GB2312"/>
                <w:sz w:val="18"/>
                <w:szCs w:val="18"/>
                <w:lang w:eastAsia="zh-CN"/>
              </w:rPr>
              <w:t>（</w:t>
            </w:r>
            <w:bookmarkEnd w:id="1"/>
            <w:r>
              <w:rPr>
                <w:rFonts w:hint="eastAsia" w:ascii="仿宋_GB2312" w:hAnsi="Times New Roman" w:eastAsia="仿宋_GB2312"/>
                <w:sz w:val="18"/>
                <w:szCs w:val="18"/>
                <w:lang w:eastAsia="zh-CN"/>
              </w:rPr>
              <w:t>1）生猪养殖场（户）养殖环节病死猪无害化处理情况登记表；</w:t>
            </w:r>
          </w:p>
          <w:p>
            <w:pPr>
              <w:spacing w:line="240" w:lineRule="exact"/>
              <w:rPr>
                <w:rFonts w:hint="eastAsia" w:ascii="仿宋_GB2312" w:hAnsi="Times New Roman" w:eastAsia="仿宋_GB2312"/>
                <w:sz w:val="18"/>
                <w:szCs w:val="18"/>
                <w:lang w:eastAsia="zh-CN"/>
              </w:rPr>
            </w:pPr>
            <w:bookmarkStart w:id="2" w:name="bookmark23"/>
            <w:r>
              <w:rPr>
                <w:rFonts w:hint="eastAsia" w:ascii="仿宋_GB2312" w:hAnsi="Times New Roman" w:eastAsia="仿宋_GB2312"/>
                <w:sz w:val="18"/>
                <w:szCs w:val="18"/>
                <w:lang w:eastAsia="zh-CN"/>
              </w:rPr>
              <w:t>（</w:t>
            </w:r>
            <w:bookmarkEnd w:id="2"/>
            <w:r>
              <w:rPr>
                <w:rFonts w:hint="eastAsia" w:ascii="仿宋_GB2312" w:hAnsi="Times New Roman" w:eastAsia="仿宋_GB2312"/>
                <w:sz w:val="18"/>
                <w:szCs w:val="18"/>
                <w:lang w:eastAsia="zh-CN"/>
              </w:rPr>
              <w:t>2）实时拍摄病死猪无害化处理过程的视频或照片；</w:t>
            </w:r>
          </w:p>
          <w:p>
            <w:pPr>
              <w:spacing w:line="240" w:lineRule="exact"/>
              <w:rPr>
                <w:rFonts w:hint="eastAsia" w:ascii="仿宋_GB2312" w:hAnsi="Times New Roman" w:eastAsia="仿宋_GB2312"/>
                <w:sz w:val="18"/>
                <w:szCs w:val="18"/>
                <w:lang w:eastAsia="zh-CN"/>
              </w:rPr>
            </w:pPr>
            <w:bookmarkStart w:id="3" w:name="bookmark24"/>
            <w:r>
              <w:rPr>
                <w:rFonts w:hint="eastAsia" w:ascii="仿宋_GB2312" w:hAnsi="Times New Roman" w:eastAsia="仿宋_GB2312"/>
                <w:sz w:val="18"/>
                <w:szCs w:val="18"/>
                <w:lang w:eastAsia="zh-CN"/>
              </w:rPr>
              <w:t>（</w:t>
            </w:r>
            <w:bookmarkEnd w:id="3"/>
            <w:r>
              <w:rPr>
                <w:rFonts w:hint="eastAsia" w:ascii="仿宋_GB2312" w:hAnsi="Times New Roman" w:eastAsia="仿宋_GB2312"/>
                <w:sz w:val="18"/>
                <w:szCs w:val="18"/>
                <w:lang w:eastAsia="zh-CN"/>
              </w:rPr>
              <w:t>3）生猪饲养量情况统计表（月报表及年报表）（</w:t>
            </w:r>
            <w:r>
              <w:rPr>
                <w:rFonts w:hint="eastAsia" w:ascii="仿宋_GB2312" w:hAnsi="Times New Roman" w:eastAsia="仿宋_GB2312"/>
                <w:sz w:val="18"/>
                <w:szCs w:val="18"/>
                <w:lang w:val="en-US" w:eastAsia="zh-CN"/>
              </w:rPr>
              <w:t>逐级签字</w:t>
            </w:r>
            <w:r>
              <w:rPr>
                <w:rFonts w:hint="eastAsia" w:ascii="仿宋_GB2312" w:hAnsi="Times New Roman" w:eastAsia="仿宋_GB2312"/>
                <w:sz w:val="18"/>
                <w:szCs w:val="18"/>
                <w:lang w:eastAsia="zh-CN"/>
              </w:rPr>
              <w:t>）；</w:t>
            </w:r>
          </w:p>
          <w:p>
            <w:pPr>
              <w:spacing w:line="240" w:lineRule="exact"/>
              <w:rPr>
                <w:rFonts w:hint="eastAsia" w:ascii="仿宋_GB2312" w:hAnsi="Times New Roman" w:eastAsia="仿宋_GB2312"/>
                <w:sz w:val="18"/>
                <w:szCs w:val="18"/>
                <w:lang w:eastAsia="zh-CN"/>
              </w:rPr>
            </w:pPr>
            <w:bookmarkStart w:id="4" w:name="bookmark25"/>
            <w:r>
              <w:rPr>
                <w:rFonts w:hint="eastAsia" w:ascii="仿宋_GB2312" w:hAnsi="Times New Roman" w:eastAsia="仿宋_GB2312"/>
                <w:sz w:val="18"/>
                <w:szCs w:val="18"/>
                <w:lang w:eastAsia="zh-CN"/>
              </w:rPr>
              <w:t>（</w:t>
            </w:r>
            <w:bookmarkEnd w:id="4"/>
            <w:r>
              <w:rPr>
                <w:rFonts w:hint="eastAsia" w:ascii="仿宋_GB2312" w:hAnsi="Times New Roman" w:eastAsia="仿宋_GB2312"/>
                <w:sz w:val="18"/>
                <w:szCs w:val="18"/>
                <w:lang w:eastAsia="zh-CN"/>
              </w:rPr>
              <w:t>4）当地水产畜牧兽医主管部门、财政部门要求提交的其他材料。</w:t>
            </w:r>
          </w:p>
          <w:p>
            <w:pPr>
              <w:spacing w:line="240" w:lineRule="exact"/>
              <w:rPr>
                <w:rFonts w:hint="eastAsia" w:ascii="仿宋_GB2312" w:hAnsi="Times New Roman" w:eastAsia="仿宋_GB2312"/>
                <w:sz w:val="18"/>
                <w:szCs w:val="18"/>
              </w:rPr>
            </w:pPr>
          </w:p>
        </w:tc>
        <w:tc>
          <w:tcPr>
            <w:tcW w:w="1140" w:type="dxa"/>
            <w:tcBorders>
              <w:top w:val="single" w:color="auto" w:sz="4" w:space="0"/>
              <w:left w:val="single" w:color="auto" w:sz="4" w:space="0"/>
              <w:bottom w:val="single" w:color="auto" w:sz="4" w:space="0"/>
              <w:right w:val="single" w:color="auto" w:sz="4" w:space="0"/>
            </w:tcBorders>
            <w:vAlign w:val="top"/>
          </w:tcPr>
          <w:p>
            <w:pPr>
              <w:jc w:val="left"/>
              <w:rPr>
                <w:rFonts w:hint="eastAsia" w:ascii="仿宋_GB2312" w:hAnsi="Times New Roman" w:eastAsia="仿宋_GB2312"/>
                <w:sz w:val="18"/>
                <w:szCs w:val="18"/>
              </w:rPr>
            </w:pPr>
            <w:r>
              <w:rPr>
                <w:rFonts w:hint="eastAsia" w:ascii="仿宋_GB2312" w:hAnsi="Times New Roman" w:eastAsia="仿宋_GB2312"/>
                <w:sz w:val="18"/>
                <w:szCs w:val="18"/>
              </w:rPr>
              <w:t>《动物防疫法》、《动物防疫等补助经费管理办法》</w:t>
            </w:r>
          </w:p>
        </w:tc>
        <w:tc>
          <w:tcPr>
            <w:tcW w:w="1140" w:type="dxa"/>
            <w:tcBorders>
              <w:top w:val="single" w:color="auto" w:sz="4" w:space="0"/>
              <w:left w:val="single" w:color="auto" w:sz="4" w:space="0"/>
              <w:bottom w:val="single" w:color="auto" w:sz="4" w:space="0"/>
              <w:right w:val="single" w:color="auto" w:sz="4" w:space="0"/>
            </w:tcBorders>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720" w:type="dxa"/>
            <w:tcBorders>
              <w:top w:val="single" w:color="auto" w:sz="4" w:space="0"/>
              <w:left w:val="single" w:color="auto" w:sz="4" w:space="0"/>
              <w:bottom w:val="single" w:color="auto" w:sz="4" w:space="0"/>
              <w:right w:val="single" w:color="auto" w:sz="4" w:space="0"/>
            </w:tcBorders>
            <w:vAlign w:val="top"/>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ascii="黑体" w:hAnsi="宋体" w:eastAsia="黑体" w:cs="宋体"/>
                <w:color w:val="000000"/>
                <w:kern w:val="0"/>
                <w:sz w:val="22"/>
              </w:rPr>
            </w:pPr>
          </w:p>
        </w:tc>
        <w:tc>
          <w:tcPr>
            <w:tcW w:w="1113" w:type="dxa"/>
            <w:tcBorders>
              <w:top w:val="single" w:color="auto" w:sz="4" w:space="0"/>
              <w:left w:val="single" w:color="auto" w:sz="4" w:space="0"/>
              <w:bottom w:val="single" w:color="auto" w:sz="4" w:space="0"/>
              <w:right w:val="single" w:color="auto" w:sz="4" w:space="0"/>
            </w:tcBorders>
            <w:vAlign w:val="top"/>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（http://www.beiliu.gov.cn/）</w:t>
            </w:r>
          </w:p>
          <w:p>
            <w:pPr>
              <w:spacing w:line="240" w:lineRule="exact"/>
              <w:jc w:val="left"/>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olor w:val="000000"/>
                <w:sz w:val="18"/>
                <w:szCs w:val="18"/>
              </w:rPr>
            </w:pPr>
            <w:r>
              <w:rPr>
                <w:rFonts w:hint="eastAsia" w:ascii="仿宋_GB2312" w:hAnsi="仿宋" w:eastAsia="仿宋_GB2312"/>
                <w:color w:val="000000"/>
                <w:sz w:val="18"/>
                <w:szCs w:val="18"/>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olor w:val="000000"/>
                <w:sz w:val="18"/>
                <w:szCs w:val="18"/>
              </w:rPr>
            </w:pPr>
            <w:r>
              <w:rPr>
                <w:rFonts w:hint="eastAsia" w:ascii="仿宋_GB2312" w:hAnsi="仿宋" w:eastAsia="仿宋_GB2312"/>
                <w:color w:val="000000"/>
                <w:sz w:val="18"/>
                <w:szCs w:val="18"/>
              </w:rPr>
              <w:t>　</w:t>
            </w:r>
          </w:p>
        </w:tc>
        <w:tc>
          <w:tcPr>
            <w:tcW w:w="551"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Height w:val="3545" w:hRule="atLeast"/>
        </w:trPr>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4</w:t>
            </w:r>
          </w:p>
        </w:tc>
        <w:tc>
          <w:tcPr>
            <w:tcW w:w="721"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hint="eastAsia" w:ascii="仿宋_GB2312" w:hAnsi="宋体" w:eastAsia="仿宋_GB2312"/>
                <w:sz w:val="18"/>
                <w:szCs w:val="18"/>
              </w:rPr>
            </w:pPr>
            <w:r>
              <w:rPr>
                <w:rFonts w:hint="eastAsia" w:ascii="仿宋_GB2312" w:hAnsi="宋体" w:eastAsia="仿宋_GB2312"/>
                <w:sz w:val="18"/>
                <w:szCs w:val="18"/>
              </w:rPr>
              <w:t>动物防疫等补助经费</w:t>
            </w:r>
          </w:p>
        </w:tc>
        <w:tc>
          <w:tcPr>
            <w:tcW w:w="754"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强制扑杀、强制免疫和养殖环节无害化处理补</w:t>
            </w:r>
            <w:r>
              <w:rPr>
                <w:rFonts w:hint="eastAsia" w:ascii="仿宋_GB2312" w:hAnsi="Times New Roman" w:eastAsia="仿宋_GB2312"/>
                <w:sz w:val="18"/>
                <w:szCs w:val="18"/>
                <w:lang w:val="en-US" w:eastAsia="zh-CN"/>
              </w:rPr>
              <w:t xml:space="preserve"> </w:t>
            </w:r>
            <w:r>
              <w:rPr>
                <w:rFonts w:hint="eastAsia" w:ascii="仿宋_GB2312" w:hAnsi="Times New Roman" w:eastAsia="仿宋_GB2312"/>
                <w:sz w:val="18"/>
                <w:szCs w:val="18"/>
              </w:rPr>
              <w:t>助</w:t>
            </w:r>
          </w:p>
        </w:tc>
        <w:tc>
          <w:tcPr>
            <w:tcW w:w="5295"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default" w:ascii="仿宋_GB2312" w:hAnsi="Times New Roman" w:eastAsia="仿宋_GB2312"/>
                <w:sz w:val="18"/>
                <w:szCs w:val="18"/>
                <w:lang w:val="en-US" w:eastAsia="zh-CN"/>
              </w:rPr>
            </w:pPr>
            <w:r>
              <w:rPr>
                <w:rFonts w:hint="eastAsia" w:ascii="仿宋_GB2312" w:hAnsi="Times New Roman" w:eastAsia="仿宋_GB2312"/>
                <w:sz w:val="18"/>
                <w:szCs w:val="18"/>
              </w:rPr>
              <w:t>咨询电话</w:t>
            </w:r>
            <w:r>
              <w:rPr>
                <w:rFonts w:hint="eastAsia" w:ascii="仿宋_GB2312" w:hAnsi="Times New Roman" w:eastAsia="仿宋_GB2312"/>
                <w:sz w:val="18"/>
                <w:szCs w:val="18"/>
                <w:lang w:eastAsia="zh-CN"/>
              </w:rPr>
              <w:t>：</w:t>
            </w:r>
            <w:r>
              <w:rPr>
                <w:rFonts w:hint="eastAsia" w:ascii="仿宋_GB2312" w:hAnsi="Times New Roman" w:eastAsia="仿宋_GB2312"/>
                <w:sz w:val="18"/>
                <w:szCs w:val="18"/>
                <w:lang w:val="en-US" w:eastAsia="zh-CN"/>
              </w:rPr>
              <w:t>0775-6332243</w:t>
            </w:r>
          </w:p>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rPr>
              <w:t>受理单位</w:t>
            </w:r>
            <w:r>
              <w:rPr>
                <w:rFonts w:hint="eastAsia" w:ascii="仿宋_GB2312" w:hAnsi="Times New Roman" w:eastAsia="仿宋_GB2312"/>
                <w:sz w:val="18"/>
                <w:szCs w:val="18"/>
                <w:lang w:eastAsia="zh-CN"/>
              </w:rPr>
              <w:t>：</w:t>
            </w:r>
            <w:r>
              <w:rPr>
                <w:rFonts w:hint="eastAsia" w:ascii="仿宋_GB2312" w:hAnsi="Times New Roman" w:eastAsia="仿宋_GB2312"/>
                <w:sz w:val="18"/>
                <w:szCs w:val="18"/>
                <w:lang w:val="en-US" w:eastAsia="zh-CN"/>
              </w:rPr>
              <w:t>北流市</w:t>
            </w:r>
            <w:r>
              <w:rPr>
                <w:rFonts w:hint="eastAsia" w:ascii="仿宋_GB2312" w:hAnsi="Times New Roman" w:eastAsia="仿宋_GB2312"/>
                <w:sz w:val="18"/>
                <w:szCs w:val="18"/>
                <w:lang w:eastAsia="zh-CN"/>
              </w:rPr>
              <w:t>农业农村局、</w:t>
            </w:r>
            <w:r>
              <w:rPr>
                <w:rFonts w:hint="eastAsia" w:ascii="仿宋_GB2312" w:hAnsi="Times New Roman" w:eastAsia="仿宋_GB2312"/>
                <w:sz w:val="18"/>
                <w:szCs w:val="18"/>
                <w:lang w:val="en-US" w:eastAsia="zh-CN"/>
              </w:rPr>
              <w:t>北流市</w:t>
            </w:r>
            <w:r>
              <w:rPr>
                <w:rFonts w:hint="eastAsia" w:ascii="仿宋_GB2312" w:hAnsi="Times New Roman" w:eastAsia="仿宋_GB2312"/>
                <w:sz w:val="18"/>
                <w:szCs w:val="18"/>
                <w:lang w:eastAsia="zh-CN"/>
              </w:rPr>
              <w:t>财政局</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办理时限</w:t>
            </w:r>
            <w:r>
              <w:rPr>
                <w:rFonts w:hint="eastAsia" w:ascii="仿宋_GB2312" w:hAnsi="Times New Roman" w:eastAsia="仿宋_GB2312"/>
                <w:sz w:val="18"/>
                <w:szCs w:val="18"/>
                <w:lang w:eastAsia="zh-CN"/>
              </w:rPr>
              <w:t>：全年</w:t>
            </w:r>
          </w:p>
          <w:p>
            <w:pPr>
              <w:spacing w:line="240" w:lineRule="exact"/>
              <w:rPr>
                <w:rFonts w:hint="default" w:ascii="仿宋_GB2312" w:hAnsi="Times New Roman" w:eastAsia="仿宋_GB2312"/>
                <w:sz w:val="18"/>
                <w:szCs w:val="18"/>
                <w:lang w:val="en-US" w:eastAsia="zh-CN"/>
              </w:rPr>
            </w:pPr>
            <w:r>
              <w:rPr>
                <w:rFonts w:hint="eastAsia" w:ascii="仿宋_GB2312" w:hAnsi="Times New Roman" w:eastAsia="仿宋_GB2312"/>
                <w:sz w:val="18"/>
                <w:szCs w:val="18"/>
              </w:rPr>
              <w:t>联系方式</w:t>
            </w:r>
            <w:r>
              <w:rPr>
                <w:rFonts w:hint="eastAsia" w:ascii="仿宋_GB2312" w:hAnsi="Times New Roman" w:eastAsia="仿宋_GB2312"/>
                <w:sz w:val="18"/>
                <w:szCs w:val="18"/>
                <w:lang w:eastAsia="zh-CN"/>
              </w:rPr>
              <w:t>：</w:t>
            </w:r>
            <w:r>
              <w:rPr>
                <w:rFonts w:hint="eastAsia" w:ascii="仿宋_GB2312" w:hAnsi="Times New Roman" w:eastAsia="仿宋_GB2312"/>
                <w:sz w:val="18"/>
                <w:szCs w:val="18"/>
                <w:lang w:val="en-US" w:eastAsia="zh-CN"/>
              </w:rPr>
              <w:t>0775-6332243</w:t>
            </w:r>
          </w:p>
          <w:p>
            <w:pPr>
              <w:spacing w:line="240" w:lineRule="exact"/>
              <w:jc w:val="left"/>
              <w:rPr>
                <w:rFonts w:hint="eastAsia" w:ascii="仿宋_GB2312" w:hAnsi="宋体" w:eastAsia="仿宋_GB2312"/>
                <w:sz w:val="18"/>
                <w:szCs w:val="18"/>
              </w:rPr>
            </w:pPr>
            <w:r>
              <w:rPr>
                <w:rFonts w:hint="eastAsia" w:ascii="仿宋_GB2312" w:hAnsi="Times New Roman" w:eastAsia="仿宋_GB2312"/>
                <w:sz w:val="18"/>
                <w:szCs w:val="18"/>
              </w:rPr>
              <w:t>补贴结果</w:t>
            </w:r>
            <w:r>
              <w:rPr>
                <w:rFonts w:hint="eastAsia" w:ascii="仿宋_GB2312" w:hAnsi="Times New Roman" w:eastAsia="仿宋_GB2312"/>
                <w:sz w:val="18"/>
                <w:szCs w:val="18"/>
                <w:lang w:eastAsia="zh-CN"/>
              </w:rPr>
              <w:t>：通过政府门户网</w:t>
            </w:r>
            <w:r>
              <w:rPr>
                <w:rFonts w:hint="eastAsia" w:ascii="仿宋_GB2312" w:hAnsi="宋体" w:eastAsia="仿宋_GB2312"/>
                <w:sz w:val="18"/>
                <w:szCs w:val="18"/>
              </w:rPr>
              <w:t>（http://www.beiliu.gov.cn/）</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向社会公示</w:t>
            </w:r>
          </w:p>
          <w:p>
            <w:pPr>
              <w:spacing w:line="240" w:lineRule="exact"/>
              <w:rPr>
                <w:rFonts w:hint="default" w:ascii="仿宋_GB2312" w:hAnsi="Times New Roman" w:eastAsia="仿宋_GB2312"/>
                <w:sz w:val="18"/>
                <w:szCs w:val="18"/>
                <w:lang w:val="en-US" w:eastAsia="zh-CN"/>
              </w:rPr>
            </w:pPr>
            <w:r>
              <w:rPr>
                <w:rFonts w:hint="eastAsia" w:ascii="仿宋_GB2312" w:hAnsi="Times New Roman" w:eastAsia="仿宋_GB2312"/>
                <w:sz w:val="18"/>
                <w:szCs w:val="18"/>
              </w:rPr>
              <w:t>监督渠道：</w:t>
            </w:r>
            <w:r>
              <w:rPr>
                <w:rFonts w:hint="eastAsia" w:ascii="仿宋_GB2312" w:hAnsi="Times New Roman" w:eastAsia="仿宋_GB2312"/>
                <w:sz w:val="18"/>
                <w:szCs w:val="18"/>
                <w:lang w:val="en-US" w:eastAsia="zh-CN"/>
              </w:rPr>
              <w:t>0775-6332243</w:t>
            </w:r>
          </w:p>
          <w:p>
            <w:pPr>
              <w:spacing w:line="240" w:lineRule="exact"/>
              <w:rPr>
                <w:rFonts w:hint="default" w:ascii="仿宋_GB2312" w:hAnsi="Times New Roman" w:eastAsia="仿宋_GB2312"/>
                <w:sz w:val="18"/>
                <w:szCs w:val="18"/>
                <w:lang w:val="en-US" w:eastAsia="zh-CN"/>
              </w:rPr>
            </w:pPr>
            <w:r>
              <w:rPr>
                <w:rFonts w:hint="eastAsia" w:ascii="仿宋_GB2312" w:hAnsi="Times New Roman" w:eastAsia="仿宋_GB2312"/>
                <w:sz w:val="18"/>
                <w:szCs w:val="18"/>
              </w:rPr>
              <w:t>举报电话</w:t>
            </w:r>
            <w:r>
              <w:rPr>
                <w:rFonts w:hint="eastAsia" w:ascii="仿宋_GB2312" w:hAnsi="Times New Roman" w:eastAsia="仿宋_GB2312"/>
                <w:sz w:val="18"/>
                <w:szCs w:val="18"/>
                <w:lang w:eastAsia="zh-CN"/>
              </w:rPr>
              <w:t>：</w:t>
            </w:r>
            <w:r>
              <w:rPr>
                <w:rFonts w:hint="eastAsia" w:ascii="仿宋_GB2312" w:hAnsi="Times New Roman" w:eastAsia="仿宋_GB2312"/>
                <w:sz w:val="18"/>
                <w:szCs w:val="18"/>
                <w:lang w:val="en-US" w:eastAsia="zh-CN"/>
              </w:rPr>
              <w:t>0775-6332243</w:t>
            </w:r>
          </w:p>
          <w:p>
            <w:pPr>
              <w:pStyle w:val="2"/>
              <w:keepNext w:val="0"/>
              <w:keepLines w:val="0"/>
              <w:pageBreakBefore w:val="0"/>
              <w:widowControl/>
              <w:kinsoku/>
              <w:wordWrap/>
              <w:overflowPunct/>
              <w:topLinePunct w:val="0"/>
              <w:autoSpaceDE/>
              <w:autoSpaceDN/>
              <w:bidi w:val="0"/>
              <w:adjustRightInd/>
              <w:snapToGrid w:val="0"/>
              <w:spacing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地址</w:t>
            </w:r>
            <w:r>
              <w:rPr>
                <w:rFonts w:hint="eastAsia" w:ascii="仿宋_GB2312" w:hAnsi="Times New Roman" w:eastAsia="仿宋_GB2312"/>
                <w:sz w:val="18"/>
                <w:szCs w:val="18"/>
                <w:lang w:eastAsia="zh-CN"/>
              </w:rPr>
              <w:t>：</w:t>
            </w:r>
            <w:r>
              <w:rPr>
                <w:rFonts w:hint="eastAsia" w:ascii="仿宋_GB2312" w:hAnsi="Times New Roman" w:eastAsia="仿宋_GB2312"/>
                <w:sz w:val="18"/>
                <w:szCs w:val="18"/>
                <w:lang w:val="en-US" w:eastAsia="zh-CN"/>
              </w:rPr>
              <w:t>北流市沿江北路0005号</w:t>
            </w:r>
          </w:p>
        </w:tc>
        <w:tc>
          <w:tcPr>
            <w:tcW w:w="1140" w:type="dxa"/>
            <w:tcBorders>
              <w:top w:val="single" w:color="auto" w:sz="4" w:space="0"/>
              <w:left w:val="single" w:color="auto" w:sz="4" w:space="0"/>
              <w:bottom w:val="single" w:color="auto" w:sz="4" w:space="0"/>
              <w:right w:val="single" w:color="auto" w:sz="4" w:space="0"/>
            </w:tcBorders>
            <w:vAlign w:val="top"/>
          </w:tcPr>
          <w:p>
            <w:pPr>
              <w:jc w:val="left"/>
              <w:rPr>
                <w:rFonts w:hint="eastAsia" w:ascii="仿宋_GB2312" w:hAnsi="Times New Roman" w:eastAsia="仿宋_GB2312"/>
                <w:sz w:val="18"/>
                <w:szCs w:val="18"/>
              </w:rPr>
            </w:pPr>
            <w:r>
              <w:rPr>
                <w:rFonts w:hint="eastAsia" w:ascii="仿宋_GB2312" w:hAnsi="Times New Roman" w:eastAsia="仿宋_GB2312"/>
                <w:sz w:val="18"/>
                <w:szCs w:val="18"/>
              </w:rPr>
              <w:t>《动物防疫法》、《动物防疫等补助经费管理办法》</w:t>
            </w:r>
          </w:p>
        </w:tc>
        <w:tc>
          <w:tcPr>
            <w:tcW w:w="1140" w:type="dxa"/>
            <w:tcBorders>
              <w:top w:val="single" w:color="auto" w:sz="4" w:space="0"/>
              <w:left w:val="single" w:color="auto" w:sz="4" w:space="0"/>
              <w:bottom w:val="single" w:color="auto" w:sz="4" w:space="0"/>
              <w:right w:val="single" w:color="auto" w:sz="4" w:space="0"/>
            </w:tcBorders>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720" w:type="dxa"/>
            <w:tcBorders>
              <w:top w:val="single" w:color="auto" w:sz="4" w:space="0"/>
              <w:left w:val="single" w:color="auto" w:sz="4" w:space="0"/>
              <w:bottom w:val="single" w:color="auto" w:sz="4" w:space="0"/>
              <w:right w:val="single" w:color="auto" w:sz="4" w:space="0"/>
            </w:tcBorders>
            <w:vAlign w:val="top"/>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ascii="黑体" w:hAnsi="宋体" w:eastAsia="黑体" w:cs="宋体"/>
                <w:color w:val="000000"/>
                <w:kern w:val="0"/>
                <w:sz w:val="22"/>
              </w:rPr>
            </w:pPr>
          </w:p>
        </w:tc>
        <w:tc>
          <w:tcPr>
            <w:tcW w:w="1113" w:type="dxa"/>
            <w:tcBorders>
              <w:top w:val="single" w:color="auto" w:sz="4" w:space="0"/>
              <w:left w:val="single" w:color="auto" w:sz="4" w:space="0"/>
              <w:bottom w:val="single" w:color="auto" w:sz="4" w:space="0"/>
              <w:right w:val="single" w:color="auto" w:sz="4" w:space="0"/>
            </w:tcBorders>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■政府网站 （http://www.beiliu.gov.cn/）</w:t>
            </w:r>
          </w:p>
          <w:p>
            <w:pPr>
              <w:spacing w:line="240" w:lineRule="exact"/>
              <w:jc w:val="left"/>
              <w:rPr>
                <w:rFonts w:ascii="仿宋_GB2312" w:hAnsi="宋体" w:eastAsia="仿宋_GB2312"/>
                <w:sz w:val="18"/>
                <w:szCs w:val="18"/>
              </w:rPr>
            </w:pPr>
          </w:p>
          <w:p>
            <w:pPr>
              <w:spacing w:line="240" w:lineRule="exact"/>
              <w:jc w:val="left"/>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olor w:val="000000"/>
                <w:sz w:val="18"/>
                <w:szCs w:val="18"/>
              </w:rPr>
            </w:pPr>
            <w:r>
              <w:rPr>
                <w:rFonts w:hint="eastAsia" w:ascii="仿宋_GB2312" w:hAnsi="仿宋" w:eastAsia="仿宋_GB2312"/>
                <w:color w:val="000000"/>
                <w:sz w:val="18"/>
                <w:szCs w:val="18"/>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olor w:val="000000"/>
                <w:sz w:val="18"/>
                <w:szCs w:val="18"/>
              </w:rPr>
            </w:pPr>
            <w:r>
              <w:rPr>
                <w:rFonts w:hint="eastAsia" w:ascii="仿宋_GB2312" w:hAnsi="仿宋" w:eastAsia="仿宋_GB2312"/>
                <w:color w:val="000000"/>
                <w:sz w:val="18"/>
                <w:szCs w:val="18"/>
              </w:rPr>
              <w:t>　</w:t>
            </w:r>
          </w:p>
        </w:tc>
        <w:tc>
          <w:tcPr>
            <w:tcW w:w="551"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Pr>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5</w:t>
            </w:r>
          </w:p>
        </w:tc>
        <w:tc>
          <w:tcPr>
            <w:tcW w:w="721"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hint="eastAsia" w:ascii="仿宋_GB2312" w:hAnsi="宋体" w:eastAsia="仿宋_GB2312"/>
                <w:sz w:val="18"/>
                <w:szCs w:val="18"/>
              </w:rPr>
            </w:pPr>
            <w:r>
              <w:rPr>
                <w:rFonts w:hint="eastAsia" w:ascii="仿宋_GB2312" w:hAnsi="宋体" w:eastAsia="仿宋_GB2312"/>
                <w:sz w:val="18"/>
                <w:szCs w:val="18"/>
              </w:rPr>
              <w:t>农业生产发展资金</w:t>
            </w:r>
          </w:p>
        </w:tc>
        <w:tc>
          <w:tcPr>
            <w:tcW w:w="754"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新型职业农民培育</w:t>
            </w:r>
          </w:p>
        </w:tc>
        <w:tc>
          <w:tcPr>
            <w:tcW w:w="5295" w:type="dxa"/>
            <w:tcBorders>
              <w:top w:val="single" w:color="auto" w:sz="4" w:space="0"/>
              <w:left w:val="single" w:color="auto" w:sz="4" w:space="0"/>
              <w:bottom w:val="single" w:color="auto" w:sz="4" w:space="0"/>
              <w:right w:val="single" w:color="auto" w:sz="4" w:space="0"/>
            </w:tcBorders>
            <w:vAlign w:val="top"/>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政策依据</w:t>
            </w:r>
            <w:r>
              <w:rPr>
                <w:rFonts w:hint="eastAsia" w:ascii="仿宋_GB2312" w:hAnsi="Times New Roman" w:eastAsia="仿宋_GB2312"/>
                <w:sz w:val="18"/>
                <w:szCs w:val="18"/>
                <w:lang w:eastAsia="zh-CN"/>
              </w:rPr>
              <w:t>：</w:t>
            </w:r>
            <w:r>
              <w:rPr>
                <w:rFonts w:hint="eastAsia" w:ascii="仿宋_GB2312" w:hAnsi="Times New Roman" w:eastAsia="仿宋_GB2312"/>
                <w:sz w:val="18"/>
                <w:szCs w:val="18"/>
              </w:rPr>
              <w:t>、《“十三五”全国新型职业农民培育发展规划》</w:t>
            </w:r>
            <w:r>
              <w:rPr>
                <w:rFonts w:hint="eastAsia" w:ascii="仿宋_GB2312" w:hAnsi="Times New Roman" w:eastAsia="仿宋_GB2312"/>
                <w:sz w:val="18"/>
                <w:szCs w:val="18"/>
                <w:lang w:eastAsia="zh-CN"/>
              </w:rPr>
              <w:t>、《自治区农业农村厅办公室关于印发2020年广西高素质农民培育实施方案的通知》等文件。</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申请指南：补贴对象</w:t>
            </w:r>
            <w:r>
              <w:rPr>
                <w:rFonts w:hint="eastAsia" w:ascii="仿宋_GB2312" w:hAnsi="Times New Roman" w:eastAsia="仿宋_GB2312"/>
                <w:sz w:val="18"/>
                <w:szCs w:val="18"/>
                <w:lang w:eastAsia="zh-CN"/>
              </w:rPr>
              <w:t>：年满16周岁以上，60周岁以下，正在从事或有意愿从事农业生产、经营、服务的农业从业者和返乡入乡创新创业者。</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补贴范围</w:t>
            </w:r>
            <w:r>
              <w:rPr>
                <w:rFonts w:hint="eastAsia" w:ascii="仿宋_GB2312" w:hAnsi="Times New Roman" w:eastAsia="仿宋_GB2312"/>
                <w:sz w:val="18"/>
                <w:szCs w:val="18"/>
                <w:lang w:eastAsia="zh-CN"/>
              </w:rPr>
              <w:t>：按照钱随事走的原则，补助资金主要用于农业农村部门及培训机构（或培训示范基地）开展农民教育培训全过程的支出。</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补贴标准</w:t>
            </w:r>
            <w:r>
              <w:rPr>
                <w:rFonts w:hint="eastAsia" w:ascii="仿宋_GB2312" w:hAnsi="Times New Roman" w:eastAsia="仿宋_GB2312"/>
                <w:sz w:val="18"/>
                <w:szCs w:val="18"/>
                <w:lang w:eastAsia="zh-CN"/>
              </w:rPr>
              <w:t>：经营管理型高素质农民，按人均3000元标准进行补助；专业生产型高素质农民，按人均不超过1000元标准进行补助。</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申请程序</w:t>
            </w:r>
            <w:r>
              <w:rPr>
                <w:rFonts w:hint="eastAsia" w:ascii="仿宋_GB2312" w:hAnsi="Times New Roman" w:eastAsia="仿宋_GB2312"/>
                <w:sz w:val="18"/>
                <w:szCs w:val="18"/>
                <w:lang w:eastAsia="zh-CN"/>
              </w:rPr>
              <w:t>：遴选年满16周岁以上，60周岁以下，正在从事或有意愿从事农业生产、经营、服务的农业从业者和返乡入乡创新创业者，重点关注并遴选受新冠肺炎疫情影响的转岗创业人员参加培训，帮助解读政策、引进技术、对接市场，打造一批农业农村创业发展典型。广泛开展宣传发动和摸底调研，分产业、分类型、分层次建立培训对象库，制定培训计划，组织培训对象登录中国农村远程教育网（www.ngx.net.cn）农民教育培训申报系统或手机下载云上智农APP报名参加培训。农民教育培训数据库是开展教育培训和数据统计考核的基础平台，在开展培训时，必须从数据库中提取培训对象信息组班、培训、评价和上报。以从事种植、养殖技术专业大户为重点，围绕复工复产、保粮保供，加大专项技术技能培训，帮助提升产业效益。</w:t>
            </w:r>
          </w:p>
          <w:p>
            <w:pPr>
              <w:spacing w:line="240" w:lineRule="exact"/>
              <w:rPr>
                <w:rFonts w:hint="default" w:ascii="仿宋_GB2312" w:hAnsi="Times New Roman" w:eastAsia="仿宋_GB2312"/>
                <w:sz w:val="18"/>
                <w:szCs w:val="18"/>
                <w:lang w:val="en-US" w:eastAsia="zh-CN"/>
              </w:rPr>
            </w:pPr>
            <w:r>
              <w:rPr>
                <w:rFonts w:hint="eastAsia" w:ascii="仿宋_GB2312" w:hAnsi="Times New Roman" w:eastAsia="仿宋_GB2312"/>
                <w:sz w:val="18"/>
                <w:szCs w:val="18"/>
              </w:rPr>
              <w:t>咨询电</w:t>
            </w:r>
            <w:r>
              <w:rPr>
                <w:rFonts w:hint="eastAsia" w:ascii="仿宋_GB2312" w:hAnsi="Times New Roman" w:eastAsia="仿宋_GB2312"/>
                <w:sz w:val="18"/>
                <w:szCs w:val="18"/>
                <w:lang w:eastAsia="zh-CN"/>
              </w:rPr>
              <w:t>话：</w:t>
            </w:r>
            <w:r>
              <w:rPr>
                <w:rFonts w:hint="eastAsia" w:ascii="仿宋_GB2312" w:hAnsi="Times New Roman" w:eastAsia="仿宋_GB2312"/>
                <w:sz w:val="18"/>
                <w:szCs w:val="18"/>
                <w:lang w:val="en-US" w:eastAsia="zh-CN"/>
              </w:rPr>
              <w:t>0775-6293916</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受理单位</w:t>
            </w:r>
            <w:r>
              <w:rPr>
                <w:rFonts w:hint="eastAsia" w:ascii="仿宋_GB2312" w:hAnsi="Times New Roman" w:eastAsia="仿宋_GB2312"/>
                <w:sz w:val="18"/>
                <w:szCs w:val="18"/>
                <w:lang w:eastAsia="zh-CN"/>
              </w:rPr>
              <w:t>：</w:t>
            </w:r>
            <w:r>
              <w:rPr>
                <w:rFonts w:hint="eastAsia" w:ascii="仿宋_GB2312" w:hAnsi="Times New Roman" w:eastAsia="仿宋_GB2312"/>
                <w:sz w:val="18"/>
                <w:szCs w:val="18"/>
                <w:lang w:val="en-US" w:eastAsia="zh-CN"/>
              </w:rPr>
              <w:t>北流市</w:t>
            </w:r>
            <w:r>
              <w:rPr>
                <w:rFonts w:hint="eastAsia" w:ascii="仿宋_GB2312" w:hAnsi="Times New Roman" w:eastAsia="仿宋_GB2312"/>
                <w:sz w:val="18"/>
                <w:szCs w:val="18"/>
                <w:lang w:eastAsia="zh-CN"/>
              </w:rPr>
              <w:t>农业农村局</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办理时限</w:t>
            </w:r>
            <w:r>
              <w:rPr>
                <w:rFonts w:hint="eastAsia" w:ascii="仿宋_GB2312" w:hAnsi="Times New Roman" w:eastAsia="仿宋_GB2312"/>
                <w:sz w:val="18"/>
                <w:szCs w:val="18"/>
                <w:lang w:eastAsia="zh-CN"/>
              </w:rPr>
              <w:t>：上级有关部门下达支持</w:t>
            </w:r>
            <w:r>
              <w:rPr>
                <w:rFonts w:hint="eastAsia" w:ascii="仿宋_GB2312" w:hAnsi="Times New Roman" w:eastAsia="仿宋_GB2312"/>
                <w:sz w:val="18"/>
                <w:szCs w:val="18"/>
              </w:rPr>
              <w:t>新型职业农民培育</w:t>
            </w:r>
            <w:r>
              <w:rPr>
                <w:rFonts w:hint="eastAsia" w:ascii="仿宋_GB2312" w:hAnsi="Times New Roman" w:eastAsia="仿宋_GB2312"/>
                <w:sz w:val="18"/>
                <w:szCs w:val="18"/>
                <w:lang w:eastAsia="zh-CN"/>
              </w:rPr>
              <w:t>资金后当年内办理。</w:t>
            </w:r>
          </w:p>
          <w:p>
            <w:pPr>
              <w:spacing w:line="240" w:lineRule="exact"/>
              <w:rPr>
                <w:rFonts w:hint="default" w:ascii="仿宋_GB2312" w:hAnsi="Times New Roman" w:eastAsia="仿宋_GB2312"/>
                <w:sz w:val="18"/>
                <w:szCs w:val="18"/>
                <w:lang w:val="en-US" w:eastAsia="zh-CN"/>
              </w:rPr>
            </w:pPr>
            <w:r>
              <w:rPr>
                <w:rFonts w:hint="eastAsia" w:ascii="仿宋_GB2312" w:hAnsi="Times New Roman" w:eastAsia="仿宋_GB2312"/>
                <w:sz w:val="18"/>
                <w:szCs w:val="18"/>
              </w:rPr>
              <w:t>联系方式</w:t>
            </w:r>
            <w:r>
              <w:rPr>
                <w:rFonts w:hint="eastAsia" w:ascii="仿宋_GB2312" w:hAnsi="Times New Roman" w:eastAsia="仿宋_GB2312"/>
                <w:sz w:val="18"/>
                <w:szCs w:val="18"/>
                <w:lang w:eastAsia="zh-CN"/>
              </w:rPr>
              <w:t>：</w:t>
            </w:r>
            <w:r>
              <w:rPr>
                <w:rFonts w:hint="eastAsia" w:ascii="仿宋_GB2312" w:hAnsi="Times New Roman" w:eastAsia="仿宋_GB2312"/>
                <w:sz w:val="18"/>
                <w:szCs w:val="18"/>
                <w:lang w:val="en-US" w:eastAsia="zh-CN"/>
              </w:rPr>
              <w:t>0775-6293916</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补贴结果</w:t>
            </w:r>
            <w:r>
              <w:rPr>
                <w:rFonts w:hint="eastAsia" w:ascii="仿宋_GB2312" w:hAnsi="Times New Roman" w:eastAsia="仿宋_GB2312"/>
                <w:sz w:val="18"/>
                <w:szCs w:val="18"/>
                <w:lang w:eastAsia="zh-CN"/>
              </w:rPr>
              <w:t>：通过政府门户网</w:t>
            </w:r>
            <w:r>
              <w:rPr>
                <w:rFonts w:hint="eastAsia" w:ascii="仿宋_GB2312" w:hAnsi="宋体" w:eastAsia="仿宋_GB2312"/>
                <w:sz w:val="18"/>
                <w:szCs w:val="18"/>
              </w:rPr>
              <w:t>（http://www.beiliu.gov.cn/）</w:t>
            </w:r>
            <w:r>
              <w:rPr>
                <w:rFonts w:hint="eastAsia" w:ascii="仿宋_GB2312" w:hAnsi="Times New Roman" w:eastAsia="仿宋_GB2312"/>
                <w:sz w:val="18"/>
                <w:szCs w:val="18"/>
              </w:rPr>
              <w:t>向社会公示</w:t>
            </w:r>
            <w:r>
              <w:rPr>
                <w:rFonts w:hint="eastAsia" w:ascii="仿宋_GB2312" w:hAnsi="Times New Roman" w:eastAsia="仿宋_GB2312"/>
                <w:sz w:val="18"/>
                <w:szCs w:val="18"/>
                <w:lang w:eastAsia="zh-CN"/>
              </w:rPr>
              <w:t>。</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监督渠道：举报电话</w:t>
            </w:r>
            <w:r>
              <w:rPr>
                <w:rFonts w:hint="eastAsia" w:ascii="仿宋_GB2312" w:hAnsi="Times New Roman" w:eastAsia="仿宋_GB2312"/>
                <w:sz w:val="18"/>
                <w:szCs w:val="18"/>
                <w:lang w:eastAsia="zh-CN"/>
              </w:rPr>
              <w:t>：</w:t>
            </w:r>
            <w:r>
              <w:rPr>
                <w:rFonts w:hint="eastAsia" w:ascii="仿宋_GB2312" w:hAnsi="Times New Roman" w:eastAsia="仿宋_GB2312"/>
                <w:sz w:val="18"/>
                <w:szCs w:val="18"/>
                <w:lang w:val="en-US" w:eastAsia="zh-CN"/>
              </w:rPr>
              <w:t>0775-6293916</w:t>
            </w:r>
            <w:r>
              <w:rPr>
                <w:rFonts w:hint="eastAsia" w:ascii="仿宋_GB2312" w:hAnsi="Times New Roman" w:eastAsia="仿宋_GB2312"/>
                <w:sz w:val="18"/>
                <w:szCs w:val="18"/>
              </w:rPr>
              <w:t>、</w:t>
            </w:r>
            <w:r>
              <w:rPr>
                <w:rFonts w:hint="eastAsia" w:ascii="仿宋_GB2312" w:hAnsi="Times New Roman" w:eastAsia="仿宋_GB2312"/>
                <w:sz w:val="18"/>
                <w:szCs w:val="18"/>
                <w:lang w:eastAsia="zh-CN"/>
              </w:rPr>
              <w:t>地址：</w:t>
            </w:r>
            <w:r>
              <w:rPr>
                <w:rFonts w:hint="eastAsia" w:ascii="仿宋_GB2312" w:hAnsi="Times New Roman" w:eastAsia="仿宋_GB2312"/>
                <w:sz w:val="18"/>
                <w:szCs w:val="18"/>
                <w:lang w:val="en-US" w:eastAsia="zh-CN"/>
              </w:rPr>
              <w:t>北流市</w:t>
            </w:r>
            <w:r>
              <w:rPr>
                <w:rFonts w:hint="eastAsia" w:ascii="仿宋_GB2312" w:hAnsi="Times New Roman" w:eastAsia="仿宋_GB2312"/>
                <w:sz w:val="18"/>
                <w:szCs w:val="18"/>
                <w:lang w:eastAsia="zh-CN"/>
              </w:rPr>
              <w:t>农业农村局</w:t>
            </w:r>
            <w:r>
              <w:rPr>
                <w:rFonts w:hint="eastAsia" w:ascii="仿宋_GB2312" w:hAnsi="Times New Roman" w:eastAsia="仿宋_GB2312"/>
                <w:sz w:val="18"/>
                <w:szCs w:val="18"/>
                <w:lang w:val="en-US" w:eastAsia="zh-CN"/>
              </w:rPr>
              <w:t>北流市沿江北路0005</w:t>
            </w:r>
            <w:bookmarkStart w:id="5" w:name="_GoBack"/>
            <w:bookmarkEnd w:id="5"/>
            <w:r>
              <w:rPr>
                <w:rFonts w:hint="eastAsia" w:ascii="仿宋_GB2312" w:hAnsi="Times New Roman" w:eastAsia="仿宋_GB2312"/>
                <w:sz w:val="18"/>
                <w:szCs w:val="18"/>
                <w:lang w:val="en-US" w:eastAsia="zh-CN"/>
              </w:rPr>
              <w:t>号</w:t>
            </w:r>
            <w:r>
              <w:rPr>
                <w:rFonts w:hint="eastAsia" w:ascii="仿宋_GB2312" w:hAnsi="Times New Roman" w:eastAsia="仿宋_GB2312"/>
                <w:sz w:val="18"/>
                <w:szCs w:val="18"/>
              </w:rPr>
              <w:t>。</w:t>
            </w:r>
          </w:p>
        </w:tc>
        <w:tc>
          <w:tcPr>
            <w:tcW w:w="1140" w:type="dxa"/>
            <w:tcBorders>
              <w:top w:val="single" w:color="auto" w:sz="4" w:space="0"/>
              <w:left w:val="single" w:color="auto" w:sz="4" w:space="0"/>
              <w:bottom w:val="single" w:color="auto" w:sz="4" w:space="0"/>
              <w:right w:val="single" w:color="auto" w:sz="4" w:space="0"/>
            </w:tcBorders>
            <w:vAlign w:val="top"/>
          </w:tcPr>
          <w:p>
            <w:pPr>
              <w:rPr>
                <w:rFonts w:hint="eastAsia" w:ascii="仿宋_GB2312" w:hAnsi="Times New Roman" w:eastAsia="仿宋_GB2312"/>
                <w:sz w:val="18"/>
                <w:szCs w:val="18"/>
              </w:rPr>
            </w:pPr>
            <w:r>
              <w:rPr>
                <w:rFonts w:hint="eastAsia" w:ascii="仿宋_GB2312" w:hAnsi="Times New Roman" w:eastAsia="仿宋_GB2312"/>
                <w:sz w:val="18"/>
                <w:szCs w:val="18"/>
              </w:rPr>
              <w:t>《关于引导农村土地经营权有序流转发展农业适度规模经营的意见》、《关于支持返乡下乡人员创业创新促进农村一二三产业融合发展的意见》、《农业生产发展资金管理办法》、《“十三五”全国新型职业农民培育发展规划》</w:t>
            </w:r>
          </w:p>
        </w:tc>
        <w:tc>
          <w:tcPr>
            <w:tcW w:w="1140" w:type="dxa"/>
            <w:tcBorders>
              <w:top w:val="single" w:color="auto" w:sz="4" w:space="0"/>
              <w:left w:val="single" w:color="auto" w:sz="4" w:space="0"/>
              <w:bottom w:val="single" w:color="auto" w:sz="4" w:space="0"/>
              <w:right w:val="single" w:color="auto" w:sz="4" w:space="0"/>
            </w:tcBorders>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720" w:type="dxa"/>
            <w:tcBorders>
              <w:top w:val="single" w:color="auto" w:sz="4" w:space="0"/>
              <w:left w:val="single" w:color="auto" w:sz="4" w:space="0"/>
              <w:bottom w:val="single" w:color="auto" w:sz="4" w:space="0"/>
              <w:right w:val="single" w:color="auto" w:sz="4" w:space="0"/>
            </w:tcBorders>
            <w:vAlign w:val="top"/>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ascii="黑体" w:hAnsi="宋体" w:eastAsia="黑体" w:cs="宋体"/>
                <w:color w:val="000000"/>
                <w:kern w:val="0"/>
                <w:sz w:val="22"/>
              </w:rPr>
            </w:pPr>
          </w:p>
        </w:tc>
        <w:tc>
          <w:tcPr>
            <w:tcW w:w="1113" w:type="dxa"/>
            <w:tcBorders>
              <w:top w:val="single" w:color="auto" w:sz="4" w:space="0"/>
              <w:left w:val="single" w:color="auto" w:sz="4" w:space="0"/>
              <w:bottom w:val="single" w:color="auto" w:sz="4" w:space="0"/>
              <w:right w:val="single" w:color="auto" w:sz="4" w:space="0"/>
            </w:tcBorders>
            <w:vAlign w:val="top"/>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（http://www.beiliu.gov.cn/）</w:t>
            </w:r>
          </w:p>
          <w:p>
            <w:pPr>
              <w:spacing w:line="240" w:lineRule="exact"/>
              <w:jc w:val="left"/>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olor w:val="000000"/>
                <w:sz w:val="18"/>
                <w:szCs w:val="18"/>
              </w:rPr>
            </w:pPr>
            <w:r>
              <w:rPr>
                <w:rFonts w:hint="eastAsia" w:ascii="仿宋_GB2312" w:hAnsi="仿宋" w:eastAsia="仿宋_GB2312"/>
                <w:color w:val="000000"/>
                <w:sz w:val="18"/>
                <w:szCs w:val="18"/>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olor w:val="000000"/>
                <w:sz w:val="18"/>
                <w:szCs w:val="18"/>
              </w:rPr>
            </w:pPr>
            <w:r>
              <w:rPr>
                <w:rFonts w:hint="eastAsia" w:ascii="仿宋_GB2312" w:hAnsi="仿宋" w:eastAsia="仿宋_GB2312"/>
                <w:color w:val="000000"/>
                <w:sz w:val="18"/>
                <w:szCs w:val="18"/>
              </w:rPr>
              <w:t>　</w:t>
            </w:r>
          </w:p>
        </w:tc>
        <w:tc>
          <w:tcPr>
            <w:tcW w:w="551"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olor w:val="000000"/>
                <w:sz w:val="18"/>
                <w:szCs w:val="18"/>
              </w:rPr>
            </w:pPr>
            <w:r>
              <w:rPr>
                <w:rFonts w:hint="eastAsia" w:ascii="仿宋_GB2312" w:hAnsi="仿宋" w:eastAsia="仿宋_GB2312"/>
                <w:color w:val="000000"/>
                <w:sz w:val="18"/>
                <w:szCs w:val="18"/>
              </w:rPr>
              <w:t>　</w:t>
            </w:r>
          </w:p>
        </w:tc>
      </w:tr>
    </w:tbl>
    <w:p/>
    <w:sectPr>
      <w:pgSz w:w="16838" w:h="11906" w:orient="landscape"/>
      <w:pgMar w:top="1361" w:right="1417" w:bottom="1361"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D82CCC"/>
    <w:rsid w:val="0189714B"/>
    <w:rsid w:val="040F4D11"/>
    <w:rsid w:val="0BE11170"/>
    <w:rsid w:val="0DEF7C05"/>
    <w:rsid w:val="0F645688"/>
    <w:rsid w:val="0F9077B9"/>
    <w:rsid w:val="12FB777B"/>
    <w:rsid w:val="12FC5CB7"/>
    <w:rsid w:val="14512C1C"/>
    <w:rsid w:val="178F03B1"/>
    <w:rsid w:val="17D466D0"/>
    <w:rsid w:val="19CD1F46"/>
    <w:rsid w:val="1B0C03FC"/>
    <w:rsid w:val="1DD662CF"/>
    <w:rsid w:val="21083AE0"/>
    <w:rsid w:val="224A6101"/>
    <w:rsid w:val="277B359C"/>
    <w:rsid w:val="27F8587F"/>
    <w:rsid w:val="294E44EB"/>
    <w:rsid w:val="29B268D0"/>
    <w:rsid w:val="29D2515B"/>
    <w:rsid w:val="2BE07F7B"/>
    <w:rsid w:val="2C3C6A38"/>
    <w:rsid w:val="2D685EA4"/>
    <w:rsid w:val="2E4F0E8E"/>
    <w:rsid w:val="31980D13"/>
    <w:rsid w:val="31A54EB5"/>
    <w:rsid w:val="32D82CCC"/>
    <w:rsid w:val="35020F21"/>
    <w:rsid w:val="37A7258C"/>
    <w:rsid w:val="37FD4699"/>
    <w:rsid w:val="38261619"/>
    <w:rsid w:val="39983B18"/>
    <w:rsid w:val="3A1F7EB5"/>
    <w:rsid w:val="3BA450C3"/>
    <w:rsid w:val="3DBE1810"/>
    <w:rsid w:val="442C384A"/>
    <w:rsid w:val="452149E6"/>
    <w:rsid w:val="46AA5184"/>
    <w:rsid w:val="48D415AB"/>
    <w:rsid w:val="49F0181D"/>
    <w:rsid w:val="4AD51ECF"/>
    <w:rsid w:val="50E253E0"/>
    <w:rsid w:val="58FE1F19"/>
    <w:rsid w:val="591D5A84"/>
    <w:rsid w:val="59E4479E"/>
    <w:rsid w:val="5D24456A"/>
    <w:rsid w:val="66344D01"/>
    <w:rsid w:val="67AE2987"/>
    <w:rsid w:val="69DA5910"/>
    <w:rsid w:val="6A06628F"/>
    <w:rsid w:val="6A0B37B1"/>
    <w:rsid w:val="6D8222CE"/>
    <w:rsid w:val="72836C6E"/>
    <w:rsid w:val="758306B9"/>
    <w:rsid w:val="77182120"/>
    <w:rsid w:val="785E46C7"/>
    <w:rsid w:val="78D705EB"/>
    <w:rsid w:val="7AC26126"/>
    <w:rsid w:val="7C00708F"/>
    <w:rsid w:val="7C6F0F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widowControl/>
      <w:jc w:val="left"/>
    </w:pPr>
    <w:rPr>
      <w:rFonts w:ascii="宋体" w:hAnsi="宋体" w:cs="宋体"/>
      <w:kern w:val="0"/>
      <w:sz w:val="24"/>
    </w:rPr>
  </w:style>
  <w:style w:type="character" w:styleId="5">
    <w:name w:val="Strong"/>
    <w:basedOn w:val="4"/>
    <w:qFormat/>
    <w:uiPriority w:val="22"/>
    <w:rPr>
      <w:b/>
      <w:bCs/>
    </w:rPr>
  </w:style>
  <w:style w:type="character" w:styleId="6">
    <w:name w:val="Hyperlink"/>
    <w:basedOn w:val="4"/>
    <w:qFormat/>
    <w:uiPriority w:val="0"/>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2020-12-07T03:33:00Z</dcterms:created>
  <dc:creator>lenvov</dc:creator>
  <cp:lastModifiedBy>blck</cp:lastModifiedBy>
  <dcterms:modified xsi:type="dcterms:W3CDTF">2020-12-10T12:00:25Z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