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藤县</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http://www.tengxian.gov.cn/ztzl/jczw/t7101033.shtml</w:t>
            </w:r>
          </w:p>
          <w:p>
            <w:pPr>
              <w:spacing w:line="240" w:lineRule="exact"/>
              <w:jc w:val="left"/>
              <w:rPr>
                <w:rFonts w:hint="eastAsia" w:ascii="仿宋_GB2312" w:hAnsi="宋体" w:eastAsia="仿宋_GB2312"/>
                <w:sz w:val="18"/>
                <w:szCs w:val="18"/>
                <w:lang w:eastAsia="zh-CN"/>
              </w:rPr>
            </w:pPr>
            <w:bookmarkStart w:id="1" w:name="_GoBack"/>
            <w:bookmarkEnd w:id="1"/>
            <w:r>
              <w:rPr>
                <w:rFonts w:hint="eastAsia" w:ascii="仿宋_GB2312" w:hAnsi="宋体" w:eastAsia="仿宋_GB2312"/>
                <w:sz w:val="18"/>
                <w:szCs w:val="18"/>
                <w:lang w:eastAsia="zh-CN"/>
              </w:rPr>
              <w:t>■公示栏等</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http://www.tengxian.gov.cn/ztzl/jczw/t7101033.shtml</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■公示栏等</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http://www.tengxian.gov.cn/ztzl/jczw/t7101033.shtml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http://www.tengxian.gov.cn/ztzl/jczw/t7101033.shtml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http://www.tengxian.gov.cn/ztzl/jczw/t7101033.shtml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29EE5B59"/>
    <w:rsid w:val="31167B80"/>
    <w:rsid w:val="31F94FD4"/>
    <w:rsid w:val="4DC43431"/>
    <w:rsid w:val="6E11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标题 1 Char"/>
    <w:basedOn w:val="7"/>
    <w:link w:val="2"/>
    <w:qFormat/>
    <w:uiPriority w:val="0"/>
    <w:rPr>
      <w:rFonts w:ascii="Calibri" w:hAnsi="Calibri" w:eastAsia="宋体" w:cs="Times New Roman"/>
      <w:b/>
      <w:bCs/>
      <w:kern w:val="44"/>
      <w:sz w:val="44"/>
      <w:szCs w:val="44"/>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2</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