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苍梧</w:t>
      </w:r>
      <w:r>
        <w:rPr>
          <w:rFonts w:hint="eastAsia" w:ascii="方正小标宋简体" w:eastAsia="方正小标宋简体"/>
          <w:sz w:val="44"/>
          <w:szCs w:val="44"/>
        </w:rPr>
        <w:t>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http://www.cangwu.gov.cn/ztzl/jczwgkbzhgfhgz/t6976662.shtml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http://www.cangwu.gov.cn/ztzl/jczwgkbzhgfhgz/t6976662.shtml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http://www.cangwu.gov.cn/ztzl/jczwgkbzhgfhgz/t6976662.shtml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http://www.cangwu.gov.cn/ztzl/jczwgkbzhgfhgz/t6976662.shtml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FF0000"/>
                <w:sz w:val="18"/>
                <w:szCs w:val="18"/>
                <w:lang w:eastAsia="zh-CN"/>
              </w:rPr>
            </w:pPr>
            <w:r>
              <w:rPr>
                <w:rFonts w:hint="eastAsia" w:ascii="仿宋_GB2312" w:hAnsi="宋体" w:eastAsia="仿宋_GB2312"/>
                <w:color w:val="FF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color w:val="FF0000"/>
                <w:sz w:val="18"/>
                <w:szCs w:val="18"/>
              </w:rPr>
            </w:pPr>
            <w:r>
              <w:rPr>
                <w:rFonts w:hint="eastAsia" w:ascii="仿宋_GB2312" w:hAnsi="宋体" w:eastAsia="仿宋_GB2312"/>
                <w:color w:val="FF0000"/>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政策依据；</w:t>
            </w:r>
          </w:p>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补贴结果；</w:t>
            </w:r>
          </w:p>
          <w:p>
            <w:pPr>
              <w:spacing w:line="240" w:lineRule="exact"/>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olor w:val="FF0000"/>
                <w:sz w:val="18"/>
                <w:szCs w:val="18"/>
              </w:rPr>
            </w:pPr>
            <w:r>
              <w:rPr>
                <w:rFonts w:hint="eastAsia" w:ascii="仿宋_GB2312" w:hAnsi="Times New Roman" w:eastAsia="仿宋_GB2312"/>
                <w:color w:val="FF0000"/>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color w:val="FF0000"/>
                <w:sz w:val="18"/>
                <w:szCs w:val="18"/>
              </w:rPr>
            </w:pPr>
            <w:r>
              <w:rPr>
                <w:rFonts w:hint="eastAsia" w:ascii="仿宋_GB2312" w:hAnsi="Times New Roman" w:eastAsia="仿宋_GB2312"/>
                <w:color w:val="FF0000"/>
                <w:sz w:val="18"/>
                <w:szCs w:val="18"/>
              </w:rPr>
              <w:t>县级农业农村部门</w:t>
            </w:r>
          </w:p>
          <w:p>
            <w:pPr>
              <w:spacing w:line="240" w:lineRule="exact"/>
              <w:rPr>
                <w:rFonts w:ascii="仿宋_GB2312" w:hAnsi="Times New Roman" w:eastAsia="仿宋_GB2312"/>
                <w:color w:val="FF000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ascii="仿宋_GB2312" w:hAnsi="宋体" w:eastAsia="仿宋_GB2312"/>
                <w:color w:val="FF0000"/>
                <w:sz w:val="18"/>
                <w:szCs w:val="18"/>
              </w:rPr>
            </w:pPr>
            <w:r>
              <w:rPr>
                <w:rFonts w:hint="eastAsia" w:ascii="仿宋_GB2312" w:hAnsi="宋体" w:eastAsia="仿宋_GB2312"/>
                <w:color w:val="FF0000"/>
                <w:sz w:val="18"/>
                <w:szCs w:val="18"/>
              </w:rPr>
              <w:t xml:space="preserve">■政府网站 </w:t>
            </w:r>
          </w:p>
          <w:p>
            <w:pPr>
              <w:spacing w:line="240" w:lineRule="exact"/>
              <w:jc w:val="left"/>
              <w:rPr>
                <w:rFonts w:hint="eastAsia" w:ascii="仿宋_GB2312" w:hAnsi="宋体" w:eastAsia="仿宋_GB2312"/>
                <w:color w:val="FF0000"/>
                <w:sz w:val="18"/>
                <w:szCs w:val="18"/>
              </w:rPr>
            </w:pPr>
            <w:r>
              <w:rPr>
                <w:rFonts w:hint="eastAsia" w:ascii="仿宋_GB2312" w:hAnsi="宋体" w:eastAsia="仿宋_GB2312"/>
                <w:color w:val="FF0000"/>
                <w:sz w:val="18"/>
                <w:szCs w:val="18"/>
              </w:rPr>
              <w:t>http://www.cangwu.gov.cn/ztzl/jczwgkbzhgfhgz/t6976662.shtml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http://www.cangwu.gov.cn/ztzl/jczwgkbzhgfhgz/t6976662.shtml</w:t>
            </w:r>
            <w:bookmarkStart w:id="1" w:name="_GoBack"/>
            <w:bookmarkEnd w:id="1"/>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235718D"/>
    <w:rsid w:val="31F94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Calibri" w:hAnsi="Calibri" w:eastAsia="宋体" w:cs="Times New Roman"/>
      <w:b/>
      <w:bCs/>
      <w:kern w:val="44"/>
      <w:sz w:val="44"/>
      <w:szCs w:val="44"/>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安子牧</cp:lastModifiedBy>
  <dcterms:modified xsi:type="dcterms:W3CDTF">2020-12-08T03:23:53Z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