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before="0" w:beforeAutospacing="0" w:after="0" w:afterAutospacing="0"/>
        <w:ind w:left="0" w:leftChars="0" w:right="0" w:rightChars="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全州县农业农村局</w:t>
      </w:r>
      <w:r>
        <w:rPr>
          <w:rFonts w:hint="eastAsia" w:ascii="方正小标宋简体" w:hAnsi="方正小标宋简体" w:eastAsia="方正小标宋简体" w:cs="方正小标宋简体"/>
          <w:b/>
          <w:bCs/>
          <w:sz w:val="44"/>
          <w:szCs w:val="44"/>
        </w:rPr>
        <w:t>基层政务公开标准目录</w:t>
      </w:r>
    </w:p>
    <w:tbl>
      <w:tblPr>
        <w:tblStyle w:val="4"/>
        <w:tblW w:w="14938" w:type="dxa"/>
        <w:jc w:val="center"/>
        <w:tblLayout w:type="fixed"/>
        <w:tblCellMar>
          <w:top w:w="0" w:type="dxa"/>
          <w:left w:w="0" w:type="dxa"/>
          <w:bottom w:w="0" w:type="dxa"/>
          <w:right w:w="0" w:type="dxa"/>
        </w:tblCellMar>
      </w:tblPr>
      <w:tblGrid>
        <w:gridCol w:w="456"/>
        <w:gridCol w:w="838"/>
        <w:gridCol w:w="840"/>
        <w:gridCol w:w="2184"/>
        <w:gridCol w:w="2208"/>
        <w:gridCol w:w="1308"/>
        <w:gridCol w:w="1260"/>
        <w:gridCol w:w="1320"/>
        <w:gridCol w:w="720"/>
        <w:gridCol w:w="780"/>
        <w:gridCol w:w="708"/>
        <w:gridCol w:w="1008"/>
        <w:gridCol w:w="516"/>
        <w:gridCol w:w="792"/>
      </w:tblGrid>
      <w:tr>
        <w:tblPrEx>
          <w:tblCellMar>
            <w:top w:w="0" w:type="dxa"/>
            <w:left w:w="0" w:type="dxa"/>
            <w:bottom w:w="0" w:type="dxa"/>
            <w:right w:w="0" w:type="dxa"/>
          </w:tblCellMar>
        </w:tblPrEx>
        <w:trPr>
          <w:trHeight w:val="804" w:hRule="atLeast"/>
          <w:jc w:val="center"/>
        </w:trPr>
        <w:tc>
          <w:tcPr>
            <w:tcW w:w="45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67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公开事项</w:t>
            </w:r>
          </w:p>
        </w:tc>
        <w:tc>
          <w:tcPr>
            <w:tcW w:w="2184" w:type="dxa"/>
            <w:tcBorders>
              <w:top w:val="single" w:color="auto" w:sz="8" w:space="0"/>
              <w:left w:val="single" w:color="auto" w:sz="8" w:space="0"/>
              <w:right w:val="single" w:color="auto" w:sz="8" w:space="0"/>
            </w:tcBorders>
            <w:tcMar>
              <w:top w:w="0" w:type="dxa"/>
              <w:left w:w="108" w:type="dxa"/>
              <w:bottom w:w="0" w:type="dxa"/>
              <w:right w:w="108" w:type="dxa"/>
            </w:tcMar>
            <w:vAlign w:val="bottom"/>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公开内容（要素）</w:t>
            </w:r>
          </w:p>
        </w:tc>
        <w:tc>
          <w:tcPr>
            <w:tcW w:w="2208" w:type="dxa"/>
            <w:tcBorders>
              <w:top w:val="single" w:color="auto" w:sz="8" w:space="0"/>
              <w:left w:val="single" w:color="auto" w:sz="8" w:space="0"/>
              <w:right w:val="single" w:color="auto" w:sz="8" w:space="0"/>
            </w:tcBorders>
            <w:tcMar>
              <w:top w:w="0" w:type="dxa"/>
              <w:left w:w="108" w:type="dxa"/>
              <w:bottom w:w="0" w:type="dxa"/>
              <w:right w:w="108" w:type="dxa"/>
            </w:tcMar>
            <w:vAlign w:val="bottom"/>
          </w:tcPr>
          <w:p>
            <w:pPr>
              <w:pStyle w:val="2"/>
              <w:jc w:val="center"/>
              <w:rPr>
                <w:rFonts w:hint="eastAsia"/>
              </w:rPr>
            </w:pPr>
          </w:p>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公开依据</w:t>
            </w:r>
          </w:p>
        </w:tc>
        <w:tc>
          <w:tcPr>
            <w:tcW w:w="1308" w:type="dxa"/>
            <w:tcBorders>
              <w:top w:val="single" w:color="auto" w:sz="8" w:space="0"/>
              <w:left w:val="single" w:color="auto" w:sz="8" w:space="0"/>
              <w:right w:val="single" w:color="auto" w:sz="8" w:space="0"/>
            </w:tcBorders>
            <w:tcMar>
              <w:top w:w="0" w:type="dxa"/>
              <w:left w:w="108" w:type="dxa"/>
              <w:bottom w:w="0" w:type="dxa"/>
              <w:right w:w="108" w:type="dxa"/>
            </w:tcMar>
            <w:vAlign w:val="bottom"/>
          </w:tcPr>
          <w:p>
            <w:pPr>
              <w:pStyle w:val="2"/>
              <w:jc w:val="center"/>
              <w:rPr>
                <w:rFonts w:hint="eastAsia" w:ascii="仿宋_GB2312" w:hAnsi="仿宋_GB2312" w:eastAsia="仿宋_GB2312" w:cs="仿宋_GB2312"/>
                <w:b/>
                <w:bCs/>
                <w:color w:val="auto"/>
                <w:sz w:val="24"/>
                <w:szCs w:val="24"/>
              </w:rPr>
            </w:pPr>
          </w:p>
          <w:p>
            <w:pPr>
              <w:pStyle w:val="2"/>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公开时限</w:t>
            </w:r>
          </w:p>
        </w:tc>
        <w:tc>
          <w:tcPr>
            <w:tcW w:w="126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pPr>
            <w:r>
              <w:rPr>
                <w:rFonts w:hint="eastAsia" w:ascii="仿宋_GB2312" w:hAnsi="仿宋_GB2312" w:eastAsia="仿宋_GB2312" w:cs="仿宋_GB2312"/>
                <w:b/>
                <w:bCs/>
                <w:color w:val="auto"/>
                <w:sz w:val="24"/>
                <w:szCs w:val="24"/>
              </w:rPr>
              <w:t>公开主体</w:t>
            </w:r>
          </w:p>
        </w:tc>
        <w:tc>
          <w:tcPr>
            <w:tcW w:w="1320"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公开渠道和载体</w:t>
            </w:r>
          </w:p>
        </w:tc>
        <w:tc>
          <w:tcPr>
            <w:tcW w:w="150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公开对象</w:t>
            </w:r>
          </w:p>
        </w:tc>
        <w:tc>
          <w:tcPr>
            <w:tcW w:w="17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公开方式</w:t>
            </w:r>
          </w:p>
        </w:tc>
        <w:tc>
          <w:tcPr>
            <w:tcW w:w="130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公开层级</w:t>
            </w:r>
          </w:p>
        </w:tc>
      </w:tr>
      <w:tr>
        <w:tblPrEx>
          <w:tblCellMar>
            <w:top w:w="0" w:type="dxa"/>
            <w:left w:w="0" w:type="dxa"/>
            <w:bottom w:w="0" w:type="dxa"/>
            <w:right w:w="0" w:type="dxa"/>
          </w:tblCellMar>
        </w:tblPrEx>
        <w:trPr>
          <w:trHeight w:val="792" w:hRule="atLeast"/>
          <w:jc w:val="center"/>
        </w:trPr>
        <w:tc>
          <w:tcPr>
            <w:tcW w:w="456" w:type="dxa"/>
            <w:vMerge w:val="continue"/>
            <w:tcBorders>
              <w:top w:val="single" w:color="auto" w:sz="8" w:space="0"/>
              <w:left w:val="single" w:color="auto" w:sz="8" w:space="0"/>
              <w:bottom w:val="single" w:color="auto" w:sz="8" w:space="0"/>
              <w:right w:val="single" w:color="auto" w:sz="8" w:space="0"/>
            </w:tcBorders>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838"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一级事项</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二级事项</w:t>
            </w:r>
          </w:p>
        </w:tc>
        <w:tc>
          <w:tcPr>
            <w:tcW w:w="2184" w:type="dxa"/>
            <w:tcBorders>
              <w:left w:val="single" w:color="auto" w:sz="8" w:space="0"/>
              <w:bottom w:val="single" w:color="auto" w:sz="8" w:space="0"/>
              <w:right w:val="single" w:color="auto" w:sz="8" w:space="0"/>
            </w:tcBorders>
            <w:vAlign w:val="bottom"/>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2208" w:type="dxa"/>
            <w:tcBorders>
              <w:left w:val="single" w:color="auto" w:sz="8" w:space="0"/>
              <w:bottom w:val="single" w:color="auto" w:sz="8" w:space="0"/>
              <w:right w:val="single" w:color="auto" w:sz="8" w:space="0"/>
            </w:tcBorders>
            <w:vAlign w:val="bottom"/>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1308" w:type="dxa"/>
            <w:tcBorders>
              <w:left w:val="single" w:color="auto" w:sz="8" w:space="0"/>
              <w:bottom w:val="single" w:color="auto" w:sz="8" w:space="0"/>
              <w:right w:val="single" w:color="auto" w:sz="8" w:space="0"/>
            </w:tcBorders>
            <w:vAlign w:val="bottom"/>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1260" w:type="dxa"/>
            <w:vMerge w:val="continue"/>
            <w:tcBorders>
              <w:top w:val="single" w:color="auto" w:sz="8" w:space="0"/>
              <w:left w:val="single" w:color="auto" w:sz="8" w:space="0"/>
              <w:bottom w:val="single" w:color="auto" w:sz="8" w:space="0"/>
              <w:right w:val="single" w:color="auto" w:sz="8" w:space="0"/>
            </w:tcBorders>
            <w:vAlign w:val="center"/>
          </w:tcPr>
          <w:p>
            <w:pPr>
              <w:pageBreakBefore w:val="0"/>
              <w:kinsoku/>
              <w:wordWrap/>
              <w:overflowPunct/>
              <w:topLinePunct w:val="0"/>
              <w:bidi w:val="0"/>
              <w:adjustRightInd/>
              <w:snapToGrid/>
              <w:spacing w:beforeAutospacing="0" w:afterAutospacing="0"/>
              <w:ind w:left="0" w:leftChars="0" w:right="0" w:rightChars="0"/>
              <w:jc w:val="center"/>
            </w:pPr>
          </w:p>
        </w:tc>
        <w:tc>
          <w:tcPr>
            <w:tcW w:w="1320" w:type="dxa"/>
            <w:vMerge w:val="continue"/>
            <w:tcBorders>
              <w:left w:val="single" w:color="auto" w:sz="8" w:space="0"/>
              <w:bottom w:val="single" w:color="auto" w:sz="8" w:space="0"/>
              <w:right w:val="single" w:color="auto" w:sz="8" w:space="0"/>
            </w:tcBorders>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全社会</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特定群众</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主动</w:t>
            </w:r>
          </w:p>
        </w:tc>
        <w:tc>
          <w:tcPr>
            <w:tcW w:w="1008"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依申请公开</w:t>
            </w:r>
          </w:p>
        </w:tc>
        <w:tc>
          <w:tcPr>
            <w:tcW w:w="516"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县级</w:t>
            </w:r>
          </w:p>
        </w:tc>
        <w:tc>
          <w:tcPr>
            <w:tcW w:w="792" w:type="dxa"/>
            <w:tcBorders>
              <w:top w:val="nil"/>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乡、村级</w:t>
            </w:r>
          </w:p>
        </w:tc>
      </w:tr>
      <w:tr>
        <w:tblPrEx>
          <w:tblCellMar>
            <w:top w:w="0" w:type="dxa"/>
            <w:left w:w="0" w:type="dxa"/>
            <w:bottom w:w="0" w:type="dxa"/>
            <w:right w:w="0" w:type="dxa"/>
          </w:tblCellMar>
        </w:tblPrEx>
        <w:trPr>
          <w:jc w:val="center"/>
        </w:trPr>
        <w:tc>
          <w:tcPr>
            <w:tcW w:w="4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耕地地力保护</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2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《农业生产发展资金管理办法》、《财政部 农业部关于全面推开农业“三项补贴”改革工作的通知》、《中华人民共和国政府信息公开条例》及相关规定</w:t>
            </w:r>
          </w:p>
        </w:tc>
        <w:tc>
          <w:tcPr>
            <w:tcW w:w="13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both"/>
            </w:pPr>
            <w:r>
              <w:rPr>
                <w:rFonts w:hint="eastAsia" w:ascii="仿宋_GB2312" w:hAnsi="宋体" w:eastAsia="仿宋_GB2312" w:cs="宋体"/>
                <w:color w:val="auto"/>
                <w:sz w:val="18"/>
                <w:szCs w:val="18"/>
                <w:lang w:eastAsia="zh-CN"/>
              </w:rPr>
              <w:t>全州</w:t>
            </w:r>
            <w:r>
              <w:rPr>
                <w:rFonts w:hint="eastAsia" w:ascii="仿宋_GB2312" w:hAnsi="宋体" w:eastAsia="仿宋_GB2312" w:cs="宋体"/>
                <w:color w:val="auto"/>
                <w:sz w:val="18"/>
                <w:szCs w:val="18"/>
              </w:rPr>
              <w:t>县农业农村局、乡（镇）人民政府</w:t>
            </w:r>
          </w:p>
        </w:tc>
        <w:tc>
          <w:tcPr>
            <w:tcW w:w="1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kern w:val="2"/>
                <w:position w:val="0"/>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default" w:ascii="宋体" w:hAnsi="宋体" w:eastAsia="宋体" w:cs="宋体"/>
                <w:color w:val="auto"/>
                <w:sz w:val="18"/>
                <w:szCs w:val="18"/>
              </w:rPr>
              <w:t>https://219.159.250.254</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10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bookmarkStart w:id="0" w:name="_GoBack"/>
            <w:bookmarkEnd w:id="0"/>
          </w:p>
        </w:tc>
        <w:tc>
          <w:tcPr>
            <w:tcW w:w="5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r>
      <w:tr>
        <w:tblPrEx>
          <w:tblCellMar>
            <w:top w:w="0" w:type="dxa"/>
            <w:left w:w="0" w:type="dxa"/>
            <w:bottom w:w="0" w:type="dxa"/>
            <w:right w:w="0" w:type="dxa"/>
          </w:tblCellMar>
        </w:tblPrEx>
        <w:trPr>
          <w:jc w:val="center"/>
        </w:trPr>
        <w:tc>
          <w:tcPr>
            <w:tcW w:w="4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新型职业农民培育</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2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中华人民共和国政府信息公开条例》及相关规定</w:t>
            </w:r>
          </w:p>
        </w:tc>
        <w:tc>
          <w:tcPr>
            <w:tcW w:w="13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both"/>
            </w:pPr>
            <w:r>
              <w:rPr>
                <w:rFonts w:hint="eastAsia" w:ascii="仿宋_GB2312" w:hAnsi="宋体" w:eastAsia="仿宋_GB2312" w:cs="宋体"/>
                <w:color w:val="auto"/>
                <w:sz w:val="18"/>
                <w:szCs w:val="18"/>
                <w:lang w:eastAsia="zh-CN"/>
              </w:rPr>
              <w:t>全州</w:t>
            </w:r>
            <w:r>
              <w:rPr>
                <w:rFonts w:hint="eastAsia" w:ascii="仿宋_GB2312" w:hAnsi="宋体" w:eastAsia="仿宋_GB2312" w:cs="宋体"/>
                <w:color w:val="auto"/>
                <w:sz w:val="18"/>
                <w:szCs w:val="18"/>
              </w:rPr>
              <w:t>县农业农村局</w:t>
            </w:r>
          </w:p>
        </w:tc>
        <w:tc>
          <w:tcPr>
            <w:tcW w:w="1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default" w:ascii="宋体" w:hAnsi="宋体" w:eastAsia="宋体" w:cs="宋体"/>
                <w:color w:val="auto"/>
                <w:sz w:val="18"/>
                <w:szCs w:val="18"/>
              </w:rPr>
              <w:t>https://219.159.250.254</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10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r>
      <w:tr>
        <w:tblPrEx>
          <w:tblCellMar>
            <w:top w:w="0" w:type="dxa"/>
            <w:left w:w="0" w:type="dxa"/>
            <w:bottom w:w="0" w:type="dxa"/>
            <w:right w:w="0" w:type="dxa"/>
          </w:tblCellMar>
        </w:tblPrEx>
        <w:trPr>
          <w:jc w:val="center"/>
        </w:trPr>
        <w:tc>
          <w:tcPr>
            <w:tcW w:w="4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支持新型农业经营主体</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2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《农业生产发展资金管理办法》、《中华人民共和国政府信息公开条例》及相关规定</w:t>
            </w:r>
          </w:p>
        </w:tc>
        <w:tc>
          <w:tcPr>
            <w:tcW w:w="13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both"/>
            </w:pPr>
            <w:r>
              <w:rPr>
                <w:rFonts w:hint="eastAsia" w:ascii="仿宋_GB2312" w:hAnsi="宋体" w:eastAsia="仿宋_GB2312" w:cs="宋体"/>
                <w:color w:val="auto"/>
                <w:sz w:val="18"/>
                <w:szCs w:val="18"/>
                <w:lang w:eastAsia="zh-CN"/>
              </w:rPr>
              <w:t>全州</w:t>
            </w:r>
            <w:r>
              <w:rPr>
                <w:rFonts w:hint="eastAsia" w:ascii="仿宋_GB2312" w:hAnsi="宋体" w:eastAsia="仿宋_GB2312" w:cs="宋体"/>
                <w:color w:val="auto"/>
                <w:sz w:val="18"/>
                <w:szCs w:val="18"/>
              </w:rPr>
              <w:t>县农业农村局</w:t>
            </w:r>
          </w:p>
        </w:tc>
        <w:tc>
          <w:tcPr>
            <w:tcW w:w="1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default" w:ascii="宋体" w:hAnsi="宋体" w:eastAsia="宋体" w:cs="宋体"/>
                <w:color w:val="auto"/>
                <w:sz w:val="18"/>
                <w:szCs w:val="18"/>
              </w:rPr>
              <w:t>https://219.159.250.254</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10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r>
      <w:tr>
        <w:tblPrEx>
          <w:tblCellMar>
            <w:top w:w="0" w:type="dxa"/>
            <w:left w:w="0" w:type="dxa"/>
            <w:bottom w:w="0" w:type="dxa"/>
            <w:right w:w="0" w:type="dxa"/>
          </w:tblCellMar>
        </w:tblPrEx>
        <w:trPr>
          <w:jc w:val="center"/>
        </w:trPr>
        <w:tc>
          <w:tcPr>
            <w:tcW w:w="456" w:type="dxa"/>
            <w:tcBorders>
              <w:top w:val="single" w:color="auto" w:sz="8" w:space="0"/>
              <w:left w:val="single" w:color="auto" w:sz="8" w:space="0"/>
              <w:bottom w:val="single" w:color="000000"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动物防疫等补助经费</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强制扑杀、强制免疫和养殖环节无害化处理补助</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2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《动物防疫法》、《动物防疫等补助经费管理办法》、《中华人民共和国政府信息公开条例》及相关规定</w:t>
            </w:r>
          </w:p>
        </w:tc>
        <w:tc>
          <w:tcPr>
            <w:tcW w:w="13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both"/>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both"/>
            </w:pPr>
            <w:r>
              <w:rPr>
                <w:rFonts w:hint="eastAsia" w:ascii="仿宋_GB2312" w:hAnsi="宋体" w:eastAsia="仿宋_GB2312" w:cs="宋体"/>
                <w:color w:val="auto"/>
                <w:sz w:val="18"/>
                <w:szCs w:val="18"/>
                <w:lang w:eastAsia="zh-CN"/>
              </w:rPr>
              <w:t>全州</w:t>
            </w:r>
            <w:r>
              <w:rPr>
                <w:rFonts w:hint="eastAsia" w:ascii="仿宋_GB2312" w:hAnsi="宋体" w:eastAsia="仿宋_GB2312" w:cs="宋体"/>
                <w:color w:val="auto"/>
                <w:sz w:val="18"/>
                <w:szCs w:val="18"/>
              </w:rPr>
              <w:t>县农业农村局</w:t>
            </w:r>
          </w:p>
        </w:tc>
        <w:tc>
          <w:tcPr>
            <w:tcW w:w="1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left"/>
              <w:rPr>
                <w:rFonts w:hint="eastAsia"/>
              </w:rPr>
            </w:pPr>
            <w:r>
              <w:rPr>
                <w:rFonts w:hint="eastAsia"/>
              </w:rPr>
              <w:fldChar w:fldCharType="begin"/>
            </w:r>
            <w:r>
              <w:rPr>
                <w:rFonts w:hint="eastAsia"/>
              </w:rPr>
              <w:instrText xml:space="preserve"> EQ \o\ac(□,√)</w:instrText>
            </w:r>
            <w:r>
              <w:rPr>
                <w:rFonts w:hint="eastAsia"/>
              </w:rPr>
              <w:fldChar w:fldCharType="end"/>
            </w:r>
            <w:r>
              <w:rPr>
                <w:rFonts w:hint="eastAsia"/>
              </w:rPr>
              <w:t xml:space="preserve">政府网站                                                                                                                                                                                                       </w:t>
            </w:r>
            <w:r>
              <w:rPr>
                <w:rFonts w:hint="eastAsia"/>
              </w:rPr>
              <w:br w:type="textWrapping"/>
            </w:r>
            <w:r>
              <w:rPr>
                <w:rFonts w:hint="eastAsia"/>
              </w:rPr>
              <w:fldChar w:fldCharType="begin"/>
            </w:r>
            <w:r>
              <w:rPr>
                <w:rFonts w:hint="eastAsia"/>
              </w:rPr>
              <w:instrText xml:space="preserve"> EQ \o\ac(□,√)</w:instrText>
            </w:r>
            <w:r>
              <w:rPr>
                <w:rFonts w:hint="eastAsia"/>
              </w:rPr>
              <w:fldChar w:fldCharType="end"/>
            </w:r>
            <w:r>
              <w:rPr>
                <w:rFonts w:hint="eastAsia"/>
              </w:rPr>
              <w:t>公示栏</w:t>
            </w:r>
          </w:p>
          <w:p>
            <w:pPr>
              <w:pStyle w:val="2"/>
            </w:pPr>
            <w:r>
              <w:rPr>
                <w:rFonts w:hint="default" w:ascii="宋体" w:hAnsi="宋体" w:eastAsia="宋体" w:cs="宋体"/>
                <w:color w:val="auto"/>
                <w:sz w:val="18"/>
                <w:szCs w:val="18"/>
              </w:rPr>
              <w:t>https://219.159.250.254</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10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Microsoft YaHei"/>
    <w:panose1 w:val="03000509000000000000"/>
    <w:charset w:val="86"/>
    <w:family w:val="auto"/>
    <w:pitch w:val="default"/>
    <w:sig w:usb0="00000000" w:usb1="00000000" w:usb2="00000000" w:usb3="00000000" w:csb0="00040000" w:csb1="00000000"/>
  </w:font>
  <w:font w:name="仿宋_GB2312">
    <w:altName w:val="Microsoft YaHei"/>
    <w:panose1 w:val="02010609030101010101"/>
    <w:charset w:val="86"/>
    <w:family w:val="modern"/>
    <w:pitch w:val="default"/>
    <w:sig w:usb0="00000000" w:usb1="00000000" w:usb2="00000000" w:usb3="00000000" w:csb0="00040000" w:csb1="00000000"/>
  </w:font>
  <w:font w:name="Microsoft YaHe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73536"/>
    <w:rsid w:val="060C7480"/>
    <w:rsid w:val="0B083E38"/>
    <w:rsid w:val="1ECA5A65"/>
    <w:rsid w:val="22E73536"/>
    <w:rsid w:val="28B00D70"/>
    <w:rsid w:val="2B5461BB"/>
    <w:rsid w:val="4120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全州县</Company>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2020-11-06T02:51:00Z</dcterms:created>
  <dc:creator>Administrator</dc:creator>
  <cp:lastModifiedBy>小唐</cp:lastModifiedBy>
  <dcterms:modified xsi:type="dcterms:W3CDTF">2020-12-09T08:15:46Z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