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sz w:val="44"/>
          <w:szCs w:val="44"/>
        </w:rPr>
      </w:pPr>
      <w:r>
        <w:rPr>
          <w:rFonts w:hint="eastAsia" w:asciiTheme="majorEastAsia" w:hAnsiTheme="majorEastAsia" w:eastAsiaTheme="majorEastAsia"/>
          <w:sz w:val="44"/>
          <w:szCs w:val="44"/>
        </w:rPr>
        <w:t>钦州市农业农村局行政处罚信息公示</w:t>
      </w:r>
    </w:p>
    <w:p>
      <w:pPr>
        <w:spacing w:line="500" w:lineRule="exact"/>
        <w:jc w:val="center"/>
        <w:rPr>
          <w:rFonts w:hint="eastAsia" w:asciiTheme="majorEastAsia" w:hAnsiTheme="majorEastAsia" w:eastAsiaTheme="majorEastAsia"/>
          <w:sz w:val="44"/>
          <w:szCs w:val="44"/>
        </w:rPr>
      </w:pPr>
    </w:p>
    <w:tbl>
      <w:tblPr>
        <w:tblStyle w:val="3"/>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5"/>
        <w:gridCol w:w="1560"/>
        <w:gridCol w:w="1275"/>
        <w:gridCol w:w="1560"/>
        <w:gridCol w:w="3685"/>
        <w:gridCol w:w="1701"/>
        <w:gridCol w:w="1843"/>
        <w:gridCol w:w="1276"/>
        <w:gridCol w:w="59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top"/>
          </w:tcPr>
          <w:p>
            <w:pPr>
              <w:jc w:val="both"/>
              <w:rPr>
                <w:rFonts w:ascii="黑体" w:hAnsi="黑体" w:eastAsia="黑体"/>
                <w:sz w:val="24"/>
                <w:szCs w:val="24"/>
              </w:rPr>
            </w:pPr>
            <w:r>
              <w:rPr>
                <w:rFonts w:hint="eastAsia" w:ascii="黑体" w:hAnsi="黑体" w:eastAsia="黑体"/>
                <w:sz w:val="24"/>
                <w:szCs w:val="24"/>
              </w:rPr>
              <w:t>序号</w:t>
            </w:r>
          </w:p>
        </w:tc>
        <w:tc>
          <w:tcPr>
            <w:tcW w:w="1560" w:type="dxa"/>
            <w:vAlign w:val="top"/>
          </w:tcPr>
          <w:p>
            <w:pPr>
              <w:jc w:val="both"/>
              <w:rPr>
                <w:rFonts w:hint="eastAsia" w:ascii="黑体" w:hAnsi="黑体" w:eastAsia="黑体"/>
                <w:sz w:val="24"/>
                <w:szCs w:val="24"/>
              </w:rPr>
            </w:pPr>
            <w:r>
              <w:rPr>
                <w:rFonts w:hint="eastAsia" w:ascii="黑体" w:hAnsi="黑体" w:eastAsia="黑体"/>
                <w:sz w:val="24"/>
                <w:szCs w:val="24"/>
              </w:rPr>
              <w:t>行政相对人</w:t>
            </w:r>
          </w:p>
          <w:p>
            <w:pPr>
              <w:jc w:val="both"/>
              <w:rPr>
                <w:rFonts w:ascii="黑体" w:hAnsi="黑体" w:eastAsia="黑体"/>
                <w:sz w:val="24"/>
                <w:szCs w:val="24"/>
              </w:rPr>
            </w:pPr>
            <w:r>
              <w:rPr>
                <w:rFonts w:hint="eastAsia" w:ascii="黑体" w:hAnsi="黑体" w:eastAsia="黑体"/>
                <w:sz w:val="24"/>
                <w:szCs w:val="24"/>
              </w:rPr>
              <w:t>类别</w:t>
            </w:r>
          </w:p>
        </w:tc>
        <w:tc>
          <w:tcPr>
            <w:tcW w:w="1275" w:type="dxa"/>
            <w:vAlign w:val="top"/>
          </w:tcPr>
          <w:p>
            <w:pPr>
              <w:jc w:val="both"/>
              <w:rPr>
                <w:rFonts w:ascii="黑体" w:hAnsi="黑体" w:eastAsia="黑体"/>
                <w:sz w:val="24"/>
                <w:szCs w:val="24"/>
              </w:rPr>
            </w:pPr>
            <w:r>
              <w:rPr>
                <w:rFonts w:hint="eastAsia" w:ascii="黑体" w:hAnsi="黑体" w:eastAsia="黑体"/>
                <w:sz w:val="24"/>
                <w:szCs w:val="24"/>
              </w:rPr>
              <w:t>法定代表人姓名</w:t>
            </w:r>
          </w:p>
        </w:tc>
        <w:tc>
          <w:tcPr>
            <w:tcW w:w="1560" w:type="dxa"/>
            <w:vAlign w:val="top"/>
          </w:tcPr>
          <w:p>
            <w:pPr>
              <w:jc w:val="both"/>
              <w:rPr>
                <w:rFonts w:ascii="黑体" w:hAnsi="黑体" w:eastAsia="黑体"/>
                <w:sz w:val="24"/>
                <w:szCs w:val="24"/>
              </w:rPr>
            </w:pPr>
            <w:r>
              <w:rPr>
                <w:rFonts w:hint="eastAsia" w:ascii="黑体" w:hAnsi="黑体" w:eastAsia="黑体"/>
                <w:sz w:val="24"/>
                <w:szCs w:val="24"/>
              </w:rPr>
              <w:t>决定书文号</w:t>
            </w:r>
          </w:p>
        </w:tc>
        <w:tc>
          <w:tcPr>
            <w:tcW w:w="3685" w:type="dxa"/>
            <w:vAlign w:val="top"/>
          </w:tcPr>
          <w:p>
            <w:pPr>
              <w:jc w:val="both"/>
              <w:rPr>
                <w:rFonts w:ascii="黑体" w:hAnsi="黑体" w:eastAsia="黑体"/>
                <w:sz w:val="24"/>
                <w:szCs w:val="24"/>
              </w:rPr>
            </w:pPr>
            <w:r>
              <w:rPr>
                <w:rFonts w:hint="eastAsia" w:ascii="黑体" w:hAnsi="黑体" w:eastAsia="黑体"/>
                <w:sz w:val="24"/>
                <w:szCs w:val="24"/>
              </w:rPr>
              <w:t>处罚事由</w:t>
            </w:r>
          </w:p>
        </w:tc>
        <w:tc>
          <w:tcPr>
            <w:tcW w:w="1701" w:type="dxa"/>
            <w:vAlign w:val="top"/>
          </w:tcPr>
          <w:p>
            <w:pPr>
              <w:jc w:val="both"/>
              <w:rPr>
                <w:rFonts w:ascii="黑体" w:hAnsi="黑体" w:eastAsia="黑体"/>
                <w:sz w:val="24"/>
                <w:szCs w:val="24"/>
              </w:rPr>
            </w:pPr>
            <w:r>
              <w:rPr>
                <w:rFonts w:hint="eastAsia" w:ascii="黑体" w:hAnsi="黑体" w:eastAsia="黑体"/>
                <w:sz w:val="24"/>
                <w:szCs w:val="24"/>
              </w:rPr>
              <w:t>处罚依据</w:t>
            </w:r>
          </w:p>
        </w:tc>
        <w:tc>
          <w:tcPr>
            <w:tcW w:w="1843" w:type="dxa"/>
            <w:vAlign w:val="top"/>
          </w:tcPr>
          <w:p>
            <w:pPr>
              <w:jc w:val="both"/>
              <w:rPr>
                <w:rFonts w:ascii="黑体" w:hAnsi="黑体" w:eastAsia="黑体"/>
                <w:sz w:val="24"/>
                <w:szCs w:val="24"/>
              </w:rPr>
            </w:pPr>
            <w:r>
              <w:rPr>
                <w:rFonts w:hint="eastAsia" w:ascii="黑体" w:hAnsi="黑体" w:eastAsia="黑体"/>
                <w:sz w:val="24"/>
                <w:szCs w:val="24"/>
              </w:rPr>
              <w:t>处罚结果</w:t>
            </w:r>
          </w:p>
        </w:tc>
        <w:tc>
          <w:tcPr>
            <w:tcW w:w="1276" w:type="dxa"/>
            <w:vAlign w:val="top"/>
          </w:tcPr>
          <w:p>
            <w:pPr>
              <w:jc w:val="both"/>
              <w:rPr>
                <w:rFonts w:ascii="黑体" w:hAnsi="黑体" w:eastAsia="黑体"/>
                <w:sz w:val="24"/>
                <w:szCs w:val="24"/>
              </w:rPr>
            </w:pPr>
            <w:r>
              <w:rPr>
                <w:rFonts w:hint="eastAsia" w:ascii="黑体" w:hAnsi="黑体" w:eastAsia="黑体"/>
                <w:sz w:val="24"/>
                <w:szCs w:val="24"/>
              </w:rPr>
              <w:t>处罚决定书日期</w:t>
            </w:r>
          </w:p>
        </w:tc>
        <w:tc>
          <w:tcPr>
            <w:tcW w:w="599" w:type="dxa"/>
            <w:vAlign w:val="top"/>
          </w:tcPr>
          <w:p>
            <w:pPr>
              <w:jc w:val="both"/>
              <w:rPr>
                <w:rFonts w:ascii="黑体" w:hAnsi="黑体" w:eastAsia="黑体"/>
                <w:sz w:val="24"/>
                <w:szCs w:val="24"/>
              </w:rPr>
            </w:pPr>
            <w:r>
              <w:rPr>
                <w:rFonts w:hint="eastAsia" w:ascii="黑体" w:hAnsi="黑体" w:eastAsia="黑体"/>
                <w:sz w:val="24"/>
                <w:szCs w:val="24"/>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top"/>
          </w:tcPr>
          <w:p>
            <w:pPr>
              <w:numPr>
                <w:ilvl w:val="0"/>
                <w:numId w:val="1"/>
              </w:numPr>
              <w:ind w:left="635" w:leftChars="0" w:hanging="425" w:firstLineChars="0"/>
              <w:jc w:val="both"/>
            </w:pPr>
          </w:p>
        </w:tc>
        <w:tc>
          <w:tcPr>
            <w:tcW w:w="1560" w:type="dxa"/>
            <w:vAlign w:val="top"/>
          </w:tcPr>
          <w:p>
            <w:pPr>
              <w:jc w:val="both"/>
              <w:rPr>
                <w:rFonts w:hint="eastAsia"/>
              </w:rPr>
            </w:pPr>
            <w:r>
              <w:rPr>
                <w:rFonts w:hint="eastAsia"/>
              </w:rPr>
              <w:t>自然人</w:t>
            </w:r>
          </w:p>
        </w:tc>
        <w:tc>
          <w:tcPr>
            <w:tcW w:w="1275" w:type="dxa"/>
            <w:vAlign w:val="top"/>
          </w:tcPr>
          <w:p>
            <w:pPr>
              <w:keepNext w:val="0"/>
              <w:keepLines w:val="0"/>
              <w:widowControl/>
              <w:suppressLineNumbers w:val="0"/>
              <w:jc w:val="both"/>
              <w:textAlignment w:val="center"/>
              <w:rPr>
                <w:rFonts w:hint="eastAsia" w:ascii="楷体" w:hAnsi="楷体" w:eastAsia="楷体" w:cs="楷体"/>
                <w:i w:val="0"/>
                <w:color w:val="000000"/>
                <w:kern w:val="2"/>
                <w:sz w:val="24"/>
                <w:szCs w:val="24"/>
                <w:u w:val="none"/>
                <w:lang w:val="en-US" w:eastAsia="zh-CN" w:bidi="ar-SA"/>
              </w:rPr>
            </w:pPr>
            <w:r>
              <w:rPr>
                <w:rFonts w:hint="eastAsia" w:ascii="楷体" w:hAnsi="楷体" w:eastAsia="楷体" w:cs="楷体"/>
                <w:i w:val="0"/>
                <w:color w:val="000000"/>
                <w:kern w:val="2"/>
                <w:sz w:val="24"/>
                <w:szCs w:val="24"/>
                <w:u w:val="none"/>
                <w:lang w:val="en-US" w:eastAsia="zh-CN" w:bidi="ar-SA"/>
              </w:rPr>
              <w:t>苏敏</w:t>
            </w:r>
          </w:p>
        </w:tc>
        <w:tc>
          <w:tcPr>
            <w:tcW w:w="1560" w:type="dxa"/>
            <w:vAlign w:val="top"/>
          </w:tcPr>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钦农（渔业）罚〔2021〕</w:t>
            </w:r>
            <w:r>
              <w:rPr>
                <w:rFonts w:hint="default" w:ascii="楷体" w:hAnsi="楷体" w:eastAsia="楷体" w:cs="楷体"/>
                <w:i w:val="0"/>
                <w:color w:val="000000"/>
                <w:kern w:val="0"/>
                <w:sz w:val="24"/>
                <w:szCs w:val="24"/>
                <w:u w:val="none"/>
                <w:lang w:val="en" w:eastAsia="zh-CN" w:bidi="ar"/>
              </w:rPr>
              <w:t>72</w:t>
            </w:r>
            <w:r>
              <w:rPr>
                <w:rFonts w:hint="eastAsia" w:ascii="楷体" w:hAnsi="楷体" w:eastAsia="楷体" w:cs="楷体"/>
                <w:i w:val="0"/>
                <w:color w:val="000000"/>
                <w:kern w:val="0"/>
                <w:sz w:val="24"/>
                <w:szCs w:val="24"/>
                <w:u w:val="none"/>
                <w:lang w:val="en-US" w:eastAsia="zh-CN" w:bidi="ar"/>
              </w:rPr>
              <w:t>号</w:t>
            </w:r>
          </w:p>
        </w:tc>
        <w:tc>
          <w:tcPr>
            <w:tcW w:w="3685" w:type="dxa"/>
            <w:vAlign w:val="top"/>
          </w:tcPr>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当事人于2021年6月10日19时51分在驾驶一艘木质结构渔船在大庙墩附近海域进行捕捞作业时被执法人员查获。经调查，当事人当场无法出示有效的《渔业船舶检验证书》、《渔业船舶登记证书》、《渔业捕捞许可证》；涉案渔船船长6米，宽2.2米；该船该船安装主机1台，功率16.2kw，该船未刷写船名船号及船籍港；船甲板放置有地笼2条，船头安装起网机1台；船甲板活鱼舱暂养渔获物，经称重虾为3.75千克，9月26日当事人苏敏来渔政部门配合调查。经调查，当事人驾驶不具有船名船号、船舶证书、船籍港的渔业船舶违反禁渔期的规定捕捞，安装禁用渔具的违法事实清楚，证据充分。其行为违反了《广西壮族自治区实施&lt;中华人民共和国渔业法&gt;办法》第三十三条以及《广西壮族自治区渔港渔业船舶管理条例》第二十三条、第二十四条之规定。</w:t>
            </w:r>
          </w:p>
        </w:tc>
        <w:tc>
          <w:tcPr>
            <w:tcW w:w="1701" w:type="dxa"/>
            <w:vAlign w:val="top"/>
          </w:tcPr>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依据《广西壮族自治区实施&lt;中华人民共和国渔业法&gt;办法》第四十六条以及《广西壮族自治区渔港渔业船舶管理条例》第三十四条</w:t>
            </w:r>
          </w:p>
        </w:tc>
        <w:tc>
          <w:tcPr>
            <w:tcW w:w="1843" w:type="dxa"/>
            <w:vAlign w:val="top"/>
          </w:tcPr>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 xml:space="preserve">1.没收渔获物虾3.75千克；                       </w:t>
            </w:r>
          </w:p>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 xml:space="preserve">2.没收地笼网2条；                              </w:t>
            </w:r>
          </w:p>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 xml:space="preserve">3.没收涉案渔船一艘。 </w:t>
            </w:r>
          </w:p>
        </w:tc>
        <w:tc>
          <w:tcPr>
            <w:tcW w:w="1276" w:type="dxa"/>
            <w:vAlign w:val="top"/>
          </w:tcPr>
          <w:p>
            <w:pPr>
              <w:keepNext w:val="0"/>
              <w:keepLines w:val="0"/>
              <w:widowControl/>
              <w:suppressLineNumbers w:val="0"/>
              <w:jc w:val="both"/>
              <w:textAlignment w:val="center"/>
              <w:rPr>
                <w:rFonts w:hint="default" w:ascii="楷体" w:hAnsi="楷体" w:eastAsia="楷体" w:cs="楷体"/>
                <w:i w:val="0"/>
                <w:color w:val="000000"/>
                <w:kern w:val="0"/>
                <w:sz w:val="24"/>
                <w:szCs w:val="24"/>
                <w:u w:val="none"/>
                <w:lang w:val="en" w:eastAsia="zh-CN" w:bidi="ar"/>
              </w:rPr>
            </w:pPr>
            <w:r>
              <w:rPr>
                <w:rFonts w:hint="default" w:ascii="楷体" w:hAnsi="楷体" w:eastAsia="楷体" w:cs="楷体"/>
                <w:i w:val="0"/>
                <w:color w:val="000000"/>
                <w:kern w:val="0"/>
                <w:sz w:val="24"/>
                <w:szCs w:val="24"/>
                <w:u w:val="none"/>
                <w:lang w:val="en-US" w:eastAsia="zh-CN" w:bidi="ar"/>
              </w:rPr>
              <w:t>202</w:t>
            </w:r>
            <w:r>
              <w:rPr>
                <w:rFonts w:hint="eastAsia" w:ascii="楷体" w:hAnsi="楷体" w:eastAsia="楷体" w:cs="楷体"/>
                <w:i w:val="0"/>
                <w:color w:val="000000"/>
                <w:kern w:val="0"/>
                <w:sz w:val="24"/>
                <w:szCs w:val="24"/>
                <w:u w:val="none"/>
                <w:lang w:val="en-US" w:eastAsia="zh-CN" w:bidi="ar"/>
              </w:rPr>
              <w:t>2</w:t>
            </w:r>
            <w:r>
              <w:rPr>
                <w:rFonts w:hint="default" w:ascii="楷体" w:hAnsi="楷体" w:eastAsia="楷体" w:cs="楷体"/>
                <w:i w:val="0"/>
                <w:color w:val="000000"/>
                <w:kern w:val="0"/>
                <w:sz w:val="24"/>
                <w:szCs w:val="24"/>
                <w:u w:val="none"/>
                <w:lang w:val="en-US" w:eastAsia="zh-CN" w:bidi="ar"/>
              </w:rPr>
              <w:t>/</w:t>
            </w:r>
            <w:r>
              <w:rPr>
                <w:rFonts w:hint="default" w:ascii="楷体" w:hAnsi="楷体" w:eastAsia="楷体" w:cs="楷体"/>
                <w:i w:val="0"/>
                <w:color w:val="000000"/>
                <w:kern w:val="0"/>
                <w:sz w:val="24"/>
                <w:szCs w:val="24"/>
                <w:u w:val="none"/>
                <w:lang w:val="en" w:eastAsia="zh-CN" w:bidi="ar"/>
              </w:rPr>
              <w:t>4</w:t>
            </w:r>
            <w:r>
              <w:rPr>
                <w:rFonts w:hint="default" w:ascii="楷体" w:hAnsi="楷体" w:eastAsia="楷体" w:cs="楷体"/>
                <w:i w:val="0"/>
                <w:color w:val="000000"/>
                <w:kern w:val="0"/>
                <w:sz w:val="24"/>
                <w:szCs w:val="24"/>
                <w:u w:val="none"/>
                <w:lang w:val="en-US" w:eastAsia="zh-CN" w:bidi="ar"/>
              </w:rPr>
              <w:t>/</w:t>
            </w:r>
            <w:r>
              <w:rPr>
                <w:rFonts w:hint="default" w:ascii="楷体" w:hAnsi="楷体" w:eastAsia="楷体" w:cs="楷体"/>
                <w:i w:val="0"/>
                <w:color w:val="000000"/>
                <w:kern w:val="0"/>
                <w:sz w:val="24"/>
                <w:szCs w:val="24"/>
                <w:u w:val="none"/>
                <w:lang w:val="en" w:eastAsia="zh-CN" w:bidi="ar"/>
              </w:rPr>
              <w:t>11</w:t>
            </w:r>
          </w:p>
        </w:tc>
        <w:tc>
          <w:tcPr>
            <w:tcW w:w="599" w:type="dxa"/>
            <w:vAlign w:val="top"/>
          </w:tcPr>
          <w:p>
            <w:pPr>
              <w:jc w:val="both"/>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top"/>
          </w:tcPr>
          <w:p>
            <w:pPr>
              <w:numPr>
                <w:ilvl w:val="0"/>
                <w:numId w:val="1"/>
              </w:numPr>
              <w:ind w:left="635" w:leftChars="0" w:hanging="425" w:firstLineChars="0"/>
              <w:jc w:val="both"/>
            </w:pPr>
          </w:p>
        </w:tc>
        <w:tc>
          <w:tcPr>
            <w:tcW w:w="1560" w:type="dxa"/>
            <w:vAlign w:val="top"/>
          </w:tcPr>
          <w:p>
            <w:pPr>
              <w:jc w:val="both"/>
              <w:rPr>
                <w:rFonts w:hint="eastAsia"/>
              </w:rPr>
            </w:pPr>
            <w:r>
              <w:rPr>
                <w:rFonts w:hint="eastAsia"/>
              </w:rPr>
              <w:t>自然人</w:t>
            </w:r>
          </w:p>
        </w:tc>
        <w:tc>
          <w:tcPr>
            <w:tcW w:w="1275" w:type="dxa"/>
            <w:vAlign w:val="top"/>
          </w:tcPr>
          <w:p>
            <w:pPr>
              <w:keepNext w:val="0"/>
              <w:keepLines w:val="0"/>
              <w:widowControl/>
              <w:suppressLineNumbers w:val="0"/>
              <w:jc w:val="both"/>
              <w:textAlignment w:val="center"/>
              <w:rPr>
                <w:rFonts w:hint="eastAsia" w:ascii="楷体" w:hAnsi="楷体" w:eastAsia="楷体" w:cs="楷体"/>
                <w:i w:val="0"/>
                <w:color w:val="000000"/>
                <w:kern w:val="2"/>
                <w:sz w:val="24"/>
                <w:szCs w:val="24"/>
                <w:u w:val="none"/>
                <w:lang w:val="en-US" w:eastAsia="zh-CN" w:bidi="ar-SA"/>
              </w:rPr>
            </w:pPr>
            <w:r>
              <w:rPr>
                <w:rFonts w:hint="eastAsia" w:ascii="楷体" w:hAnsi="楷体" w:eastAsia="楷体" w:cs="楷体"/>
                <w:i w:val="0"/>
                <w:color w:val="000000"/>
                <w:kern w:val="2"/>
                <w:sz w:val="24"/>
                <w:szCs w:val="24"/>
                <w:u w:val="none"/>
                <w:lang w:val="en-US" w:eastAsia="zh-CN" w:bidi="ar-SA"/>
              </w:rPr>
              <w:t>吴志强</w:t>
            </w:r>
          </w:p>
        </w:tc>
        <w:tc>
          <w:tcPr>
            <w:tcW w:w="1560" w:type="dxa"/>
            <w:vAlign w:val="top"/>
          </w:tcPr>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钦农（渔业）罚〔2021〕</w:t>
            </w:r>
            <w:r>
              <w:rPr>
                <w:rFonts w:hint="default" w:ascii="楷体" w:hAnsi="楷体" w:eastAsia="楷体" w:cs="楷体"/>
                <w:i w:val="0"/>
                <w:color w:val="000000"/>
                <w:kern w:val="0"/>
                <w:sz w:val="24"/>
                <w:szCs w:val="24"/>
                <w:u w:val="none"/>
                <w:lang w:val="en" w:eastAsia="zh-CN" w:bidi="ar"/>
              </w:rPr>
              <w:t>73</w:t>
            </w:r>
            <w:r>
              <w:rPr>
                <w:rFonts w:hint="eastAsia" w:ascii="楷体" w:hAnsi="楷体" w:eastAsia="楷体" w:cs="楷体"/>
                <w:i w:val="0"/>
                <w:color w:val="000000"/>
                <w:kern w:val="0"/>
                <w:sz w:val="24"/>
                <w:szCs w:val="24"/>
                <w:u w:val="none"/>
                <w:lang w:val="en-US" w:eastAsia="zh-CN" w:bidi="ar"/>
              </w:rPr>
              <w:t>号</w:t>
            </w:r>
          </w:p>
        </w:tc>
        <w:tc>
          <w:tcPr>
            <w:tcW w:w="3685" w:type="dxa"/>
            <w:vAlign w:val="top"/>
          </w:tcPr>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当事人于2021年1月30日21时10分雇佣吴超钦驾驶其钢质当事人于2021年6月10日19时55分在驾驶一艘木质结构渔船在大庙墩附近海域进行捕捞作业时被执法人员查获。经调查，当事人当场无法出示有效的《渔业船舶检验证书》、《渔业船舶登记证书》、《渔业捕捞许可证》；涉案渔船船长6米，宽2.3米；该船被查获时未刷写船名船号及船籍港，船上安装主机1台，功率16.2kw，船甲板放置有地笼2条；船甲板活鱼舱暂养渔获物，回到执法点经称重虾为24.5千克。9月26日当事人吴志强来渔政部门配合调查。经调查，当事人驾驶不具有船名船号、船舶证书、船籍港的渔船船舶违反禁渔期的规定，使用禁用渔具（地笼）作业的违法事实清楚，证据充分。其行为违反了《中华人民共和国渔业法》第三十条以及《广西壮族自治区渔港渔业船舶管理条例》第二十三条、第二十四条之规定。</w:t>
            </w:r>
          </w:p>
        </w:tc>
        <w:tc>
          <w:tcPr>
            <w:tcW w:w="1701" w:type="dxa"/>
            <w:vAlign w:val="top"/>
          </w:tcPr>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依据《中华人民共和国渔业法》第三十八条以及《广西壮族自治区渔港渔业船舶管理条例》第三十四条</w:t>
            </w:r>
          </w:p>
        </w:tc>
        <w:tc>
          <w:tcPr>
            <w:tcW w:w="1843" w:type="dxa"/>
            <w:vAlign w:val="top"/>
          </w:tcPr>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 xml:space="preserve">1、没收渔获物虾24.5千克；                      </w:t>
            </w:r>
          </w:p>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 xml:space="preserve">2、没收地笼网2条；                             </w:t>
            </w:r>
          </w:p>
          <w:p>
            <w:pPr>
              <w:keepNext w:val="0"/>
              <w:keepLines w:val="0"/>
              <w:widowControl/>
              <w:suppressLineNumbers w:val="0"/>
              <w:jc w:val="both"/>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 xml:space="preserve">3、没收涉案渔船一艘。 </w:t>
            </w:r>
            <w:bookmarkStart w:id="0" w:name="_GoBack"/>
            <w:bookmarkEnd w:id="0"/>
            <w:r>
              <w:rPr>
                <w:rFonts w:hint="eastAsia" w:ascii="楷体" w:hAnsi="楷体" w:eastAsia="楷体" w:cs="楷体"/>
                <w:i w:val="0"/>
                <w:color w:val="000000"/>
                <w:kern w:val="0"/>
                <w:sz w:val="24"/>
                <w:szCs w:val="24"/>
                <w:u w:val="none"/>
                <w:lang w:val="en-US" w:eastAsia="zh-CN" w:bidi="ar"/>
              </w:rPr>
              <w:t xml:space="preserve">     </w:t>
            </w:r>
          </w:p>
        </w:tc>
        <w:tc>
          <w:tcPr>
            <w:tcW w:w="1276" w:type="dxa"/>
            <w:vAlign w:val="top"/>
          </w:tcPr>
          <w:p>
            <w:pPr>
              <w:keepNext w:val="0"/>
              <w:keepLines w:val="0"/>
              <w:widowControl/>
              <w:suppressLineNumbers w:val="0"/>
              <w:jc w:val="both"/>
              <w:textAlignment w:val="center"/>
              <w:rPr>
                <w:rFonts w:hint="default" w:ascii="楷体" w:hAnsi="楷体" w:eastAsia="楷体" w:cs="楷体"/>
                <w:i w:val="0"/>
                <w:color w:val="000000"/>
                <w:kern w:val="0"/>
                <w:sz w:val="24"/>
                <w:szCs w:val="24"/>
                <w:u w:val="none"/>
                <w:lang w:val="en" w:eastAsia="zh-CN" w:bidi="ar"/>
              </w:rPr>
            </w:pPr>
            <w:r>
              <w:rPr>
                <w:rFonts w:hint="default" w:ascii="楷体" w:hAnsi="楷体" w:eastAsia="楷体" w:cs="楷体"/>
                <w:i w:val="0"/>
                <w:color w:val="000000"/>
                <w:kern w:val="0"/>
                <w:sz w:val="24"/>
                <w:szCs w:val="24"/>
                <w:u w:val="none"/>
                <w:lang w:val="en-US" w:eastAsia="zh-CN" w:bidi="ar"/>
              </w:rPr>
              <w:t>202</w:t>
            </w:r>
            <w:r>
              <w:rPr>
                <w:rFonts w:hint="eastAsia" w:ascii="楷体" w:hAnsi="楷体" w:eastAsia="楷体" w:cs="楷体"/>
                <w:i w:val="0"/>
                <w:color w:val="000000"/>
                <w:kern w:val="0"/>
                <w:sz w:val="24"/>
                <w:szCs w:val="24"/>
                <w:u w:val="none"/>
                <w:lang w:val="en-US" w:eastAsia="zh-CN" w:bidi="ar"/>
              </w:rPr>
              <w:t>2</w:t>
            </w:r>
            <w:r>
              <w:rPr>
                <w:rFonts w:hint="default" w:ascii="楷体" w:hAnsi="楷体" w:eastAsia="楷体" w:cs="楷体"/>
                <w:i w:val="0"/>
                <w:color w:val="000000"/>
                <w:kern w:val="0"/>
                <w:sz w:val="24"/>
                <w:szCs w:val="24"/>
                <w:u w:val="none"/>
                <w:lang w:val="en-US" w:eastAsia="zh-CN" w:bidi="ar"/>
              </w:rPr>
              <w:t>/</w:t>
            </w:r>
            <w:r>
              <w:rPr>
                <w:rFonts w:hint="default" w:ascii="楷体" w:hAnsi="楷体" w:eastAsia="楷体" w:cs="楷体"/>
                <w:i w:val="0"/>
                <w:color w:val="000000"/>
                <w:kern w:val="0"/>
                <w:sz w:val="24"/>
                <w:szCs w:val="24"/>
                <w:u w:val="none"/>
                <w:lang w:val="en" w:eastAsia="zh-CN" w:bidi="ar"/>
              </w:rPr>
              <w:t>4</w:t>
            </w:r>
            <w:r>
              <w:rPr>
                <w:rFonts w:hint="default" w:ascii="楷体" w:hAnsi="楷体" w:eastAsia="楷体" w:cs="楷体"/>
                <w:i w:val="0"/>
                <w:color w:val="000000"/>
                <w:kern w:val="0"/>
                <w:sz w:val="24"/>
                <w:szCs w:val="24"/>
                <w:u w:val="none"/>
                <w:lang w:val="en-US" w:eastAsia="zh-CN" w:bidi="ar"/>
              </w:rPr>
              <w:t>/</w:t>
            </w:r>
            <w:r>
              <w:rPr>
                <w:rFonts w:hint="default" w:ascii="楷体" w:hAnsi="楷体" w:eastAsia="楷体" w:cs="楷体"/>
                <w:i w:val="0"/>
                <w:color w:val="000000"/>
                <w:kern w:val="0"/>
                <w:sz w:val="24"/>
                <w:szCs w:val="24"/>
                <w:u w:val="none"/>
                <w:lang w:val="en" w:eastAsia="zh-CN" w:bidi="ar"/>
              </w:rPr>
              <w:t>11</w:t>
            </w:r>
          </w:p>
        </w:tc>
        <w:tc>
          <w:tcPr>
            <w:tcW w:w="599" w:type="dxa"/>
            <w:vAlign w:val="top"/>
          </w:tcPr>
          <w:p>
            <w:pPr>
              <w:jc w:val="both"/>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83B32"/>
    <w:multiLevelType w:val="singleLevel"/>
    <w:tmpl w:val="45183B32"/>
    <w:lvl w:ilvl="0" w:tentative="0">
      <w:start w:val="1"/>
      <w:numFmt w:val="decimal"/>
      <w:lvlText w:val="%1."/>
      <w:lvlJc w:val="left"/>
      <w:pPr>
        <w:ind w:left="63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945"/>
    <w:rsid w:val="00312CD6"/>
    <w:rsid w:val="0044421F"/>
    <w:rsid w:val="00665768"/>
    <w:rsid w:val="00690945"/>
    <w:rsid w:val="00985C53"/>
    <w:rsid w:val="009E5CAB"/>
    <w:rsid w:val="00D11161"/>
    <w:rsid w:val="00F53F5E"/>
    <w:rsid w:val="00F55A8C"/>
    <w:rsid w:val="11EC2829"/>
    <w:rsid w:val="13636082"/>
    <w:rsid w:val="139421BF"/>
    <w:rsid w:val="14C25694"/>
    <w:rsid w:val="1A90374B"/>
    <w:rsid w:val="1BB52CC7"/>
    <w:rsid w:val="28610B3B"/>
    <w:rsid w:val="2B094263"/>
    <w:rsid w:val="2C945B74"/>
    <w:rsid w:val="2F433AFD"/>
    <w:rsid w:val="305A10F5"/>
    <w:rsid w:val="36A70721"/>
    <w:rsid w:val="37ED918B"/>
    <w:rsid w:val="3A75E9B3"/>
    <w:rsid w:val="44E81B52"/>
    <w:rsid w:val="48F75F17"/>
    <w:rsid w:val="504E09A4"/>
    <w:rsid w:val="54CB174A"/>
    <w:rsid w:val="56E8126B"/>
    <w:rsid w:val="5A9832A4"/>
    <w:rsid w:val="5AE61B3B"/>
    <w:rsid w:val="5BFE875F"/>
    <w:rsid w:val="5C791AC9"/>
    <w:rsid w:val="5CC52EBB"/>
    <w:rsid w:val="5F8F49DF"/>
    <w:rsid w:val="60F9471E"/>
    <w:rsid w:val="63E13B60"/>
    <w:rsid w:val="64E22923"/>
    <w:rsid w:val="653052AC"/>
    <w:rsid w:val="65FA0255"/>
    <w:rsid w:val="67E043F1"/>
    <w:rsid w:val="67FF586F"/>
    <w:rsid w:val="69A73D06"/>
    <w:rsid w:val="6D77BD99"/>
    <w:rsid w:val="6EEFAEBB"/>
    <w:rsid w:val="756F6BC9"/>
    <w:rsid w:val="77DD115F"/>
    <w:rsid w:val="77F738DE"/>
    <w:rsid w:val="77FE7C61"/>
    <w:rsid w:val="78BF2BC0"/>
    <w:rsid w:val="79362D0D"/>
    <w:rsid w:val="79FE3B01"/>
    <w:rsid w:val="7AEF19A3"/>
    <w:rsid w:val="7DF6F810"/>
    <w:rsid w:val="7F7A9DE1"/>
    <w:rsid w:val="7F8EC70E"/>
    <w:rsid w:val="9E7F9A60"/>
    <w:rsid w:val="B03A05DB"/>
    <w:rsid w:val="BA2FC90C"/>
    <w:rsid w:val="BBF37088"/>
    <w:rsid w:val="D7FE9759"/>
    <w:rsid w:val="D95FE3AE"/>
    <w:rsid w:val="DD3E49B7"/>
    <w:rsid w:val="DFFD2E3F"/>
    <w:rsid w:val="E96FBF30"/>
    <w:rsid w:val="EBFE0FF0"/>
    <w:rsid w:val="EFC7B877"/>
    <w:rsid w:val="EFDFF1E6"/>
    <w:rsid w:val="F6DE2B86"/>
    <w:rsid w:val="F7CD923B"/>
    <w:rsid w:val="FB8FB13F"/>
    <w:rsid w:val="FCB91494"/>
    <w:rsid w:val="FDDF100E"/>
    <w:rsid w:val="FDDF8F52"/>
    <w:rsid w:val="FF57E363"/>
    <w:rsid w:val="FF74F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499</Words>
  <Characters>2850</Characters>
  <Lines>23</Lines>
  <Paragraphs>6</Paragraphs>
  <TotalTime>4</TotalTime>
  <ScaleCrop>false</ScaleCrop>
  <LinksUpToDate>false</LinksUpToDate>
  <CharactersWithSpaces>3343</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2019-08-17T08:38:00Z</dcterms:created>
  <dc:creator>Administrator</dc:creator>
  <cp:lastModifiedBy>gxxc</cp:lastModifiedBy>
  <cp:lastPrinted>2019-08-18T10:41:00Z</cp:lastPrinted>
  <dcterms:modified xsi:type="dcterms:W3CDTF">2022-04-15T11:04:16Z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25ABF5345D2346708F70FCF470EB34E5</vt:lpwstr>
  </property>
</Properties>
</file>