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textAlignment w:val="auto"/>
        <w:rPr>
          <w:rFonts w:hint="eastAsia" w:eastAsia="仿宋_GB2312"/>
          <w:color w:val="000000"/>
          <w:sz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_GB2312" w:hAnsi="宋体"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_GB2312" w:hAnsi="宋体"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_GB2312" w:hAnsi="宋体"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_GB2312" w:hAnsi="宋体"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_GB2312" w:hAnsi="宋体"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宋体" w:eastAsia="仿宋_GB2312"/>
          <w:color w:val="000000"/>
          <w:sz w:val="32"/>
          <w:szCs w:val="32"/>
        </w:rPr>
      </w:pPr>
      <w:r>
        <w:rPr>
          <w:rFonts w:hint="eastAsia" w:ascii="仿宋_GB2312" w:hAnsi="宋体" w:eastAsia="仿宋_GB2312"/>
          <w:color w:val="000000"/>
          <w:sz w:val="32"/>
          <w:szCs w:val="32"/>
        </w:rPr>
        <w:t>钦市农业发〔</w:t>
      </w: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lang w:val="en-US" w:eastAsia="zh-CN"/>
        </w:rPr>
        <w:t>22</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12</w:t>
      </w:r>
      <w:r>
        <w:rPr>
          <w:rFonts w:hint="eastAsia" w:ascii="仿宋_GB2312" w:hAnsi="宋体" w:eastAsia="仿宋_GB2312"/>
          <w:color w:val="000000"/>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宋体" w:eastAsia="仿宋_GB2312"/>
          <w:color w:val="000000"/>
          <w:sz w:val="44"/>
          <w:szCs w:val="44"/>
        </w:rPr>
      </w:pPr>
    </w:p>
    <w:p>
      <w:pPr>
        <w:spacing w:line="560" w:lineRule="exact"/>
        <w:jc w:val="center"/>
        <w:rPr>
          <w:rFonts w:ascii="方正小标宋简体" w:hAnsi="方正小标宋简体" w:eastAsia="方正小标宋简体" w:cs="方正小标宋简体"/>
          <w:color w:val="000000" w:themeColor="text1"/>
          <w:sz w:val="44"/>
          <w:szCs w:val="44"/>
          <w:u w:val="none"/>
          <w14:textFill>
            <w14:solidFill>
              <w14:schemeClr w14:val="tx1"/>
            </w14:solidFill>
          </w14:textFill>
        </w:rPr>
      </w:pPr>
      <w:r>
        <w:rPr>
          <w:rFonts w:hint="eastAsia" w:ascii="方正小标宋简体" w:hAnsi="方正小标宋简体" w:eastAsia="方正小标宋简体" w:cs="方正小标宋简体"/>
          <w:spacing w:val="6"/>
          <w:sz w:val="44"/>
          <w:szCs w:val="44"/>
        </w:rPr>
        <w:t>钦</w:t>
      </w:r>
      <w:r>
        <w:rPr>
          <w:rFonts w:hint="eastAsia" w:ascii="方正小标宋简体" w:hAnsi="方正小标宋简体" w:eastAsia="方正小标宋简体" w:cs="方正小标宋简体"/>
          <w:color w:val="000000" w:themeColor="text1"/>
          <w:spacing w:val="-6"/>
          <w:sz w:val="44"/>
          <w:szCs w:val="44"/>
          <w:u w:val="none"/>
          <w14:textFill>
            <w14:solidFill>
              <w14:schemeClr w14:val="tx1"/>
            </w14:solidFill>
          </w14:textFill>
        </w:rPr>
        <w:t>州市农业农村局印发《关于全面推进四轮驱动</w:t>
      </w:r>
      <w:r>
        <w:rPr>
          <w:rFonts w:hint="eastAsia" w:ascii="方正小标宋简体" w:hAnsi="方正小标宋简体" w:eastAsia="方正小标宋简体" w:cs="方正小标宋简体"/>
          <w:color w:val="000000" w:themeColor="text1"/>
          <w:sz w:val="44"/>
          <w:szCs w:val="44"/>
          <w:u w:val="none"/>
          <w14:textFill>
            <w14:solidFill>
              <w14:schemeClr w14:val="tx1"/>
            </w14:solidFill>
          </w14:textFill>
        </w:rPr>
        <w:t>战略“美乡村”攻坚行动实施方案》的通知</w:t>
      </w:r>
    </w:p>
    <w:p>
      <w:pPr>
        <w:spacing w:line="560" w:lineRule="exact"/>
        <w:rPr>
          <w:rFonts w:ascii="仿宋_GB2312" w:hAnsi="仿宋_GB2312" w:eastAsia="仿宋_GB2312" w:cs="仿宋_GB2312"/>
          <w:color w:val="000000" w:themeColor="text1"/>
          <w:sz w:val="32"/>
          <w:szCs w:val="32"/>
          <w:u w:val="none"/>
          <w14:textFill>
            <w14:solidFill>
              <w14:schemeClr w14:val="tx1"/>
            </w14:solidFill>
          </w14:textFill>
        </w:rPr>
      </w:pPr>
    </w:p>
    <w:p>
      <w:pPr>
        <w:spacing w:line="560" w:lineRule="exact"/>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各县（区）农业农村局，自贸区钦州港片区社会事务局，局机关各科室、局属各单位：</w:t>
      </w: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现将《关于全面推进四轮驱动战略“美乡村”攻坚行动实施方案》印发给你们，请认真贯彻执行。</w:t>
      </w: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p>
    <w:p>
      <w:pPr>
        <w:wordWrap w:val="0"/>
        <w:spacing w:line="560" w:lineRule="exact"/>
        <w:ind w:firstLine="5280" w:firstLineChars="1650"/>
        <w:jc w:val="right"/>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钦州市农业农村局</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    </w:t>
      </w:r>
    </w:p>
    <w:p>
      <w:pPr>
        <w:wordWrap w:val="0"/>
        <w:spacing w:line="560" w:lineRule="exact"/>
        <w:ind w:firstLine="5644" w:firstLineChars="1700"/>
        <w:jc w:val="right"/>
        <w:rPr>
          <w:rFonts w:hint="default"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6"/>
          <w:sz w:val="32"/>
          <w:szCs w:val="32"/>
          <w:u w:val="none"/>
          <w14:textFill>
            <w14:solidFill>
              <w14:schemeClr w14:val="tx1"/>
            </w14:solidFill>
          </w14:textFill>
        </w:rPr>
        <w:t>2022年3月8日</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     </w:t>
      </w: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p>
    <w:p>
      <w:pPr>
        <w:spacing w:line="560" w:lineRule="exact"/>
        <w:jc w:val="center"/>
        <w:rPr>
          <w:rFonts w:ascii="方正小标宋简体" w:hAnsi="方正小标宋简体" w:eastAsia="方正小标宋简体" w:cs="方正小标宋简体"/>
          <w:color w:val="000000" w:themeColor="text1"/>
          <w:sz w:val="44"/>
          <w:szCs w:val="44"/>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14:textFill>
            <w14:solidFill>
              <w14:schemeClr w14:val="tx1"/>
            </w14:solidFill>
          </w14:textFill>
        </w:rPr>
        <w:t>关于全面推进四轮驱动战略“美乡村”</w:t>
      </w:r>
    </w:p>
    <w:p>
      <w:pPr>
        <w:spacing w:line="560" w:lineRule="exact"/>
        <w:jc w:val="center"/>
        <w:rPr>
          <w:rFonts w:ascii="方正小标宋简体" w:hAnsi="方正小标宋简体" w:eastAsia="方正小标宋简体" w:cs="方正小标宋简体"/>
          <w:color w:val="000000" w:themeColor="text1"/>
          <w:sz w:val="44"/>
          <w:szCs w:val="44"/>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14:textFill>
            <w14:solidFill>
              <w14:schemeClr w14:val="tx1"/>
            </w14:solidFill>
          </w14:textFill>
        </w:rPr>
        <w:t>攻坚行动实施方案</w:t>
      </w:r>
    </w:p>
    <w:p>
      <w:pPr>
        <w:spacing w:line="560" w:lineRule="exact"/>
        <w:ind w:firstLine="640" w:firstLineChars="200"/>
        <w:rPr>
          <w:rFonts w:ascii="仿宋_GB2312" w:hAnsi="仿宋_GB2312" w:eastAsia="仿宋_GB2312" w:cs="仿宋_GB2312"/>
          <w:color w:val="000000" w:themeColor="text1"/>
          <w:sz w:val="32"/>
          <w:szCs w:val="32"/>
          <w:u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为贯彻落实《中共钦州市委员会 钦州市人民政府印发关于全面推进“建大港、壮产业、造滨城、美乡村”四轮驱动战略攻坚实施方案的通知》（钦发〔2022〕1号）精神，加快促进农业高质高效、农村宜居宜业、农民富足富裕，推动农业农村现代化迈出更大步伐，结合工作实际，制定本方案。</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黑体"/>
          <w:color w:val="000000" w:themeColor="text1"/>
          <w:sz w:val="32"/>
          <w:szCs w:val="32"/>
          <w:u w:val="none"/>
          <w14:textFill>
            <w14:solidFill>
              <w14:schemeClr w14:val="tx1"/>
            </w14:solidFill>
          </w14:textFill>
        </w:rPr>
      </w:pPr>
      <w:r>
        <w:rPr>
          <w:rFonts w:hint="eastAsia" w:ascii="黑体" w:hAnsi="黑体" w:eastAsia="黑体" w:cs="黑体"/>
          <w:color w:val="000000" w:themeColor="text1"/>
          <w:sz w:val="32"/>
          <w:szCs w:val="32"/>
          <w:u w:val="none"/>
          <w14:textFill>
            <w14:solidFill>
              <w14:schemeClr w14:val="tx1"/>
            </w14:solidFill>
          </w14:textFill>
        </w:rPr>
        <w:t>一、总体要求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（一）指导思想</w:t>
      </w:r>
      <w:r>
        <w:rPr>
          <w:rFonts w:hint="eastAsia" w:ascii="仿宋_GB2312" w:hAnsi="仿宋_GB2312" w:eastAsia="仿宋_GB2312" w:cs="仿宋_GB2312"/>
          <w:color w:val="000000" w:themeColor="text1"/>
          <w:sz w:val="32"/>
          <w:szCs w:val="32"/>
          <w:u w:val="none"/>
          <w14:textFill>
            <w14:solidFill>
              <w14:schemeClr w14:val="tx1"/>
            </w14:solidFill>
          </w14:textFill>
        </w:rPr>
        <w:t>。以习近平新时代中国特色社会主义思想为指导，深入贯彻习近平总书记关于“三农”工作重要论述以及视察广西“4·27”重要讲话精神，全面落实中央、全区、全市农村工作会议精神，紧紧围绕自治区第十二次党代会和市第六次党代会工作部署，聚焦农业强、农村美、农民富，全面推进四轮驱动战略“美乡村”攻坚行动，争当广西“面朝大海、向海图强”排头兵，为加快实现“港、区、产、城、人”发展愿景贡献“三农”力量，以实际行动和优异成绩迎接党的二十大胜利召开。</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（二）主要目标</w:t>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rStyle w:val="7"/>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全力抓好粮食和农业生产，保障粮食等重要农产品有效供给</w:t>
      </w:r>
      <w:r>
        <w:rPr>
          <w:rStyle w:val="7"/>
          <w:rFonts w:hint="eastAsia" w:ascii="仿宋_GB2312" w:hAnsi="仿宋_GB2312" w:eastAsia="仿宋_GB2312" w:cs="仿宋_GB2312"/>
          <w:b w:val="0"/>
          <w:bCs/>
          <w:i w:val="0"/>
          <w:caps w:val="0"/>
          <w:color w:val="000000" w:themeColor="text1"/>
          <w:spacing w:val="0"/>
          <w:sz w:val="32"/>
          <w:szCs w:val="32"/>
          <w:u w:val="none"/>
          <w:shd w:val="clear" w:fill="FFFFFF"/>
          <w:lang w:eastAsia="zh-CN"/>
          <w14:textFill>
            <w14:solidFill>
              <w14:schemeClr w14:val="tx1"/>
            </w14:solidFill>
          </w14:textFill>
        </w:rPr>
        <w:t>，全面提升农业综合生产能力。</w:t>
      </w:r>
      <w:r>
        <w:rPr>
          <w:rFonts w:hint="eastAsia" w:ascii="仿宋_GB2312" w:hAnsi="仿宋_GB2312" w:eastAsia="仿宋_GB2312" w:cs="仿宋_GB2312"/>
          <w:color w:val="000000" w:themeColor="text1"/>
          <w:sz w:val="32"/>
          <w:szCs w:val="32"/>
          <w:u w:val="none"/>
          <w14:textFill>
            <w14:solidFill>
              <w14:schemeClr w14:val="tx1"/>
            </w14:solidFill>
          </w14:textFill>
        </w:rPr>
        <w:t>坚持以工业化理念、产业链思维发展农业，重点突破农业全产业链、产业综合体、种业振兴、特色品牌四项工作，</w:t>
      </w:r>
      <w:r>
        <w:rPr>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打造高水平</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规模化、</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标准</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化、品牌化</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w:t>
      </w:r>
      <w:r>
        <w:rPr>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三化农业</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，迈向</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农业现代化。</w:t>
      </w:r>
      <w:r>
        <w:rPr>
          <w:rFonts w:hint="eastAsia" w:ascii="仿宋_GB2312" w:hAnsi="仿宋_GB2312" w:eastAsia="仿宋_GB2312" w:cs="仿宋_GB2312"/>
          <w:color w:val="000000" w:themeColor="text1"/>
          <w:sz w:val="32"/>
          <w:szCs w:val="32"/>
          <w:u w:val="none"/>
          <w14:textFill>
            <w14:solidFill>
              <w14:schemeClr w14:val="tx1"/>
            </w14:solidFill>
          </w14:textFill>
        </w:rPr>
        <w:t>常态化推进“钦品入湾”，加快贯通县乡村电子商务体系和快递物流配送体系，</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做大做强“钦”字号农产品品牌，打造具有区域影响力的名特优农产品</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lang w:val="zh-TW"/>
          <w14:textFill>
            <w14:solidFill>
              <w14:schemeClr w14:val="tx1"/>
            </w14:solidFill>
          </w14:textFill>
        </w:rPr>
        <w:t>实施农村人居环境整治提升五年行动，</w:t>
      </w:r>
      <w:r>
        <w:rPr>
          <w:rFonts w:hint="eastAsia" w:ascii="仿宋_GB2312" w:hAnsi="仿宋_GB2312" w:eastAsia="仿宋_GB2312" w:cs="仿宋_GB2312"/>
          <w:color w:val="000000" w:themeColor="text1"/>
          <w:sz w:val="32"/>
          <w:szCs w:val="32"/>
          <w:u w:val="none"/>
          <w14:textFill>
            <w14:solidFill>
              <w14:schemeClr w14:val="tx1"/>
            </w14:solidFill>
          </w14:textFill>
        </w:rPr>
        <w:t>统筹村庄基础设施升级、村庄清洁美化，</w:t>
      </w:r>
      <w:r>
        <w:rPr>
          <w:rFonts w:hint="eastAsia" w:ascii="仿宋_GB2312" w:hAnsi="仿宋_GB2312" w:eastAsia="仿宋_GB2312" w:cs="仿宋_GB2312"/>
          <w:color w:val="000000" w:themeColor="text1"/>
          <w:sz w:val="32"/>
          <w:szCs w:val="32"/>
          <w:u w:val="none"/>
          <w:lang w:val="zh-TW"/>
          <w14:textFill>
            <w14:solidFill>
              <w14:schemeClr w14:val="tx1"/>
            </w14:solidFill>
          </w14:textFill>
        </w:rPr>
        <w:t>突出农村厕所革命、生活污水治理、生活垃圾治理、村容村貌整体提升四项重点，</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打造具有</w:t>
      </w:r>
      <w:r>
        <w:rPr>
          <w:rFonts w:hint="eastAsia" w:ascii="仿宋_GB2312" w:hAnsi="仿宋_GB2312" w:eastAsia="仿宋_GB2312" w:cs="仿宋_GB2312"/>
          <w:color w:val="000000" w:themeColor="text1"/>
          <w:sz w:val="32"/>
          <w:szCs w:val="32"/>
          <w:u w:val="none"/>
          <w:lang w:val="zh-TW" w:eastAsia="zh-CN"/>
          <w14:textFill>
            <w14:solidFill>
              <w14:schemeClr w14:val="tx1"/>
            </w14:solidFill>
          </w14:textFill>
        </w:rPr>
        <w:t>钦州山海</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特色、彰显</w:t>
      </w:r>
      <w:r>
        <w:rPr>
          <w:rFonts w:hint="eastAsia" w:ascii="仿宋_GB2312" w:hAnsi="仿宋_GB2312" w:eastAsia="仿宋_GB2312" w:cs="仿宋_GB2312"/>
          <w:color w:val="000000" w:themeColor="text1"/>
          <w:sz w:val="32"/>
          <w:szCs w:val="32"/>
          <w:u w:val="none"/>
          <w:lang w:val="zh-TW" w:eastAsia="zh-CN"/>
          <w14:textFill>
            <w14:solidFill>
              <w14:schemeClr w14:val="tx1"/>
            </w14:solidFill>
          </w14:textFill>
        </w:rPr>
        <w:t>桂风壮韵</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的现代版“富春山居图”</w:t>
      </w:r>
      <w:r>
        <w:rPr>
          <w:rFonts w:hint="eastAsia" w:ascii="仿宋_GB2312" w:hAnsi="仿宋_GB2312" w:eastAsia="仿宋_GB2312" w:cs="仿宋_GB2312"/>
          <w:color w:val="000000" w:themeColor="text1"/>
          <w:sz w:val="32"/>
          <w:szCs w:val="32"/>
          <w:u w:val="none"/>
          <w:lang w:val="zh-TW"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14:textFill>
            <w14:solidFill>
              <w14:schemeClr w14:val="tx1"/>
            </w14:solidFill>
          </w14:textFill>
        </w:rPr>
        <w:t>向改革要动力，聚焦农村发展瓶颈制约，加快推进农村重点领域和关键环节改革，激发农村资源要素活力。</w:t>
      </w:r>
      <w:r>
        <w:rPr>
          <w:rStyle w:val="7"/>
          <w:rFonts w:hint="eastAsia" w:ascii="仿宋_GB2312" w:hAnsi="仿宋_GB2312" w:eastAsia="仿宋_GB2312" w:cs="仿宋_GB2312"/>
          <w:b w:val="0"/>
          <w:bCs/>
          <w:i w:val="0"/>
          <w:caps w:val="0"/>
          <w:color w:val="000000" w:themeColor="text1"/>
          <w:spacing w:val="0"/>
          <w:sz w:val="32"/>
          <w:szCs w:val="32"/>
          <w:u w:val="none"/>
          <w:shd w:val="clear" w:fill="FFFFFF"/>
          <w:lang w:eastAsia="zh-CN"/>
          <w14:textFill>
            <w14:solidFill>
              <w14:schemeClr w14:val="tx1"/>
            </w14:solidFill>
          </w14:textFill>
        </w:rPr>
        <w:t>加快</w:t>
      </w:r>
      <w:r>
        <w:rPr>
          <w:rFonts w:hint="eastAsia" w:ascii="仿宋_GB2312" w:hAnsi="仿宋_GB2312" w:eastAsia="仿宋_GB2312" w:cs="仿宋_GB2312"/>
          <w:b w:val="0"/>
          <w:bCs/>
          <w:i w:val="0"/>
          <w:caps w:val="0"/>
          <w:color w:val="000000" w:themeColor="text1"/>
          <w:spacing w:val="0"/>
          <w:sz w:val="32"/>
          <w:szCs w:val="32"/>
          <w:u w:val="none"/>
          <w:shd w:val="clear" w:fill="FFFFFF"/>
          <w:lang w:eastAsia="zh-CN"/>
          <w14:textFill>
            <w14:solidFill>
              <w14:schemeClr w14:val="tx1"/>
            </w14:solidFill>
          </w14:textFill>
        </w:rPr>
        <w:t>推进</w:t>
      </w:r>
      <w:r>
        <w:rPr>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广西</w:t>
      </w:r>
      <w:r>
        <w:rPr>
          <w:rStyle w:val="8"/>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钦州城乡融合发展试验区</w:t>
      </w:r>
      <w:r>
        <w:rPr>
          <w:rStyle w:val="8"/>
          <w:rFonts w:hint="eastAsia" w:ascii="仿宋_GB2312" w:hAnsi="仿宋_GB2312" w:eastAsia="仿宋_GB2312" w:cs="仿宋_GB2312"/>
          <w:b w:val="0"/>
          <w:bCs/>
          <w:i w:val="0"/>
          <w:caps w:val="0"/>
          <w:color w:val="000000" w:themeColor="text1"/>
          <w:spacing w:val="0"/>
          <w:sz w:val="32"/>
          <w:szCs w:val="32"/>
          <w:u w:val="none"/>
          <w:shd w:val="clear" w:fill="FFFFFF"/>
          <w:lang w:eastAsia="zh-CN"/>
          <w14:textFill>
            <w14:solidFill>
              <w14:schemeClr w14:val="tx1"/>
            </w14:solidFill>
          </w14:textFill>
        </w:rPr>
        <w:t>产业发展和改革工作</w:t>
      </w:r>
      <w:r>
        <w:rPr>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高标准</w:t>
      </w:r>
      <w:r>
        <w:rPr>
          <w:rStyle w:val="7"/>
          <w:rFonts w:hint="eastAsia" w:ascii="仿宋_GB2312" w:hAnsi="仿宋_GB2312" w:eastAsia="仿宋_GB2312" w:cs="仿宋_GB2312"/>
          <w:b w:val="0"/>
          <w:bCs/>
          <w:i w:val="0"/>
          <w:caps w:val="0"/>
          <w:color w:val="000000" w:themeColor="text1"/>
          <w:spacing w:val="0"/>
          <w:sz w:val="32"/>
          <w:szCs w:val="32"/>
          <w:u w:val="none"/>
          <w:shd w:val="clear" w:fill="FFFFFF"/>
          <w:lang w:eastAsia="zh-CN"/>
          <w14:textFill>
            <w14:solidFill>
              <w14:schemeClr w14:val="tx1"/>
            </w14:solidFill>
          </w14:textFill>
        </w:rPr>
        <w:t>打造</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融合发展</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试验田。</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全面巩固“两不愁三保障”成果，坚决守住不发生规模性返贫底线。</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严守</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生态环境、民生保障、安全发展三条底线</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促进农业生态环境持续向好，补齐</w:t>
      </w:r>
      <w:r>
        <w:rPr>
          <w:rFonts w:hint="eastAsia" w:ascii="仿宋_GB2312" w:hAnsi="仿宋_GB2312" w:eastAsia="仿宋_GB2312" w:cs="仿宋_GB2312"/>
          <w:color w:val="000000" w:themeColor="text1"/>
          <w:sz w:val="32"/>
          <w:szCs w:val="32"/>
          <w:u w:val="none"/>
          <w14:textFill>
            <w14:solidFill>
              <w14:schemeClr w14:val="tx1"/>
            </w14:solidFill>
          </w14:textFill>
        </w:rPr>
        <w:t>民生</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短板，激发农村发展动力，确保农业生产全年无重大事故发生，</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保障农业农村健康、持续、高质量发展。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黑体"/>
          <w:color w:val="000000" w:themeColor="text1"/>
          <w:sz w:val="32"/>
          <w:szCs w:val="32"/>
          <w:u w:val="none"/>
          <w14:textFill>
            <w14:solidFill>
              <w14:schemeClr w14:val="tx1"/>
            </w14:solidFill>
          </w14:textFill>
        </w:rPr>
      </w:pPr>
      <w:r>
        <w:rPr>
          <w:rFonts w:hint="eastAsia" w:ascii="黑体" w:hAnsi="黑体" w:eastAsia="黑体" w:cs="黑体"/>
          <w:color w:val="000000" w:themeColor="text1"/>
          <w:sz w:val="32"/>
          <w:szCs w:val="32"/>
          <w:u w:val="none"/>
          <w14:textFill>
            <w14:solidFill>
              <w14:schemeClr w14:val="tx1"/>
            </w14:solidFill>
          </w14:textFill>
        </w:rPr>
        <w:t>二、以“八大工程”加速推进美乡村攻坚行动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（一）实施农业综合生产能力提升工程</w:t>
      </w:r>
      <w:r>
        <w:rPr>
          <w:rFonts w:hint="eastAsia" w:ascii="楷体_GB2312" w:hAnsi="仿宋_GB2312" w:eastAsia="楷体_GB2312" w:cs="仿宋_GB2312"/>
          <w:color w:val="000000" w:themeColor="text1"/>
          <w:sz w:val="32"/>
          <w:szCs w:val="32"/>
          <w:u w:val="none"/>
          <w14:textFill>
            <w14:solidFill>
              <w14:schemeClr w14:val="tx1"/>
            </w14:solidFill>
          </w14:textFill>
        </w:rPr>
        <w:t>。</w:t>
      </w:r>
      <w:r>
        <w:rPr>
          <w:rFonts w:hint="eastAsia" w:ascii="仿宋_GB2312" w:hAnsi="仿宋_GB2312" w:eastAsia="仿宋_GB2312" w:cs="仿宋_GB2312"/>
          <w:color w:val="000000" w:themeColor="text1"/>
          <w:sz w:val="32"/>
          <w:szCs w:val="32"/>
          <w:u w:val="none"/>
          <w14:textFill>
            <w14:solidFill>
              <w14:schemeClr w14:val="tx1"/>
            </w14:solidFill>
          </w14:textFill>
        </w:rPr>
        <w:t>稳定发展粮食、荔枝、香蕉、辣椒、黄瓜、茶叶、中药材、大蚝、生猪等特色优势种养殖，着力提高单产，巩固重要农产品产能在全区、全国的地位，强化粮食和主要农产品供给保障能力</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w:t>
      </w:r>
      <w:r>
        <w:rPr>
          <w:rStyle w:val="7"/>
          <w:rFonts w:hint="eastAsia" w:ascii="仿宋_GB2312" w:hAnsi="仿宋_GB2312" w:eastAsia="仿宋_GB2312" w:cs="仿宋_GB2312"/>
          <w:b w:val="0"/>
          <w:bCs/>
          <w:i w:val="0"/>
          <w:caps w:val="0"/>
          <w:color w:val="000000" w:themeColor="text1"/>
          <w:spacing w:val="0"/>
          <w:sz w:val="32"/>
          <w:szCs w:val="32"/>
          <w:u w:val="none"/>
          <w:shd w:val="clear" w:fill="FFFFFF"/>
          <w:lang w:eastAsia="zh-CN"/>
          <w14:textFill>
            <w14:solidFill>
              <w14:schemeClr w14:val="tx1"/>
            </w14:solidFill>
          </w14:textFill>
        </w:rPr>
        <w:t>全面提升农业综合生产能力</w:t>
      </w:r>
      <w:r>
        <w:rPr>
          <w:rFonts w:hint="eastAsia" w:ascii="仿宋_GB2312" w:hAnsi="仿宋_GB2312" w:eastAsia="仿宋_GB2312" w:cs="仿宋_GB2312"/>
          <w:color w:val="000000" w:themeColor="text1"/>
          <w:sz w:val="32"/>
          <w:szCs w:val="32"/>
          <w:u w:val="none"/>
          <w14:textFill>
            <w14:solidFill>
              <w14:schemeClr w14:val="tx1"/>
            </w14:solidFill>
          </w14:textFill>
        </w:rPr>
        <w:t>。落实粮食安全党政同责，全面推行田长制，以最坚决的态度、最有力的举措落实好耕地保护硬措施，加大耕地撂荒治理力度，推进建设高标准农田，发展优质米种植，确保粮食种植面积、产量只增不减。深入实施“菜篮子”工程，巩固提升主要农产品产能，重点发展辣椒、黄瓜等大宗优质蔬菜种植，建设集约化、智能化、低本高效的设施蔬菜大棚。常态化抓好非洲猪瘟防控，推动发展生猪、肉牛、肉羊、家禽规模化机械化智能化养殖。大力发展设施渔业，推进海洋牧场、国家级渔港经济区、大蚝良种人工繁育基地、淡水鱼苗核心示范园区建设，重点抓好深水抗风浪网箱、新型抗风浪浮筏、对虾棚式循环水、陆基圆形池生态养殖。调整水果生产结构，大力发展菠萝蜜、百香果、柑橘等特色优质水果种植，建设荔枝等水果采后处理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（二）实施农业产业化水平提升工程</w:t>
      </w:r>
      <w:r>
        <w:rPr>
          <w:rFonts w:hint="eastAsia" w:ascii="楷体_GB2312" w:hAnsi="仿宋_GB2312" w:eastAsia="楷体_GB2312" w:cs="仿宋_GB2312"/>
          <w:color w:val="000000" w:themeColor="text1"/>
          <w:sz w:val="32"/>
          <w:szCs w:val="32"/>
          <w:u w:val="none"/>
          <w14:textFill>
            <w14:solidFill>
              <w14:schemeClr w14:val="tx1"/>
            </w14:solidFill>
          </w14:textFill>
        </w:rPr>
        <w:t>。</w:t>
      </w:r>
      <w:r>
        <w:rPr>
          <w:rFonts w:hint="eastAsia" w:ascii="仿宋_GB2312" w:hAnsi="仿宋_GB2312" w:eastAsia="仿宋_GB2312" w:cs="仿宋_GB2312"/>
          <w:color w:val="000000" w:themeColor="text1"/>
          <w:sz w:val="32"/>
          <w:szCs w:val="32"/>
          <w:u w:val="none"/>
          <w14:textFill>
            <w14:solidFill>
              <w14:schemeClr w14:val="tx1"/>
            </w14:solidFill>
          </w14:textFill>
        </w:rPr>
        <w:t>坚持以工业化理念、产业链思维发展农业，围绕解决规模、标准、特色等难题，重点突破农业全产业链、产业综合体、种业振兴、特色品牌四项工作，</w:t>
      </w:r>
      <w:r>
        <w:rPr>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打造高水平</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规模化、</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标准</w:t>
      </w:r>
      <w:r>
        <w:rPr>
          <w:rFonts w:hint="eastAsia" w:ascii="仿宋_GB2312" w:hAnsi="仿宋_GB2312" w:eastAsia="仿宋_GB2312" w:cs="仿宋_GB2312"/>
          <w:b w:val="0"/>
          <w:bCs/>
          <w:color w:val="000000" w:themeColor="text1"/>
          <w:sz w:val="32"/>
          <w:szCs w:val="32"/>
          <w:u w:val="none"/>
          <w14:textFill>
            <w14:solidFill>
              <w14:schemeClr w14:val="tx1"/>
            </w14:solidFill>
          </w14:textFill>
        </w:rPr>
        <w:t>化、品牌化</w:t>
      </w:r>
      <w:r>
        <w:rPr>
          <w:rFonts w:hint="eastAsia" w:ascii="仿宋_GB2312" w:hAnsi="仿宋_GB2312" w:eastAsia="仿宋_GB2312" w:cs="仿宋_GB2312"/>
          <w:b w:val="0"/>
          <w:bCs/>
          <w:color w:val="000000" w:themeColor="text1"/>
          <w:sz w:val="32"/>
          <w:szCs w:val="32"/>
          <w:u w:val="none"/>
          <w:lang w:eastAsia="zh-CN"/>
          <w14:textFill>
            <w14:solidFill>
              <w14:schemeClr w14:val="tx1"/>
            </w14:solidFill>
          </w14:textFill>
        </w:rPr>
        <w:t>”</w:t>
      </w:r>
      <w:r>
        <w:rPr>
          <w:rFonts w:hint="eastAsia" w:ascii="仿宋_GB2312" w:hAnsi="仿宋_GB2312" w:eastAsia="仿宋_GB2312" w:cs="仿宋_GB2312"/>
          <w:b w:val="0"/>
          <w:bCs/>
          <w:i w:val="0"/>
          <w:caps w:val="0"/>
          <w:color w:val="000000" w:themeColor="text1"/>
          <w:spacing w:val="0"/>
          <w:sz w:val="32"/>
          <w:szCs w:val="32"/>
          <w:u w:val="none"/>
          <w:shd w:val="clear" w:fill="FFFFFF"/>
          <w14:textFill>
            <w14:solidFill>
              <w14:schemeClr w14:val="tx1"/>
            </w14:solidFill>
          </w14:textFill>
        </w:rPr>
        <w:t>三化农业</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，迈向</w:t>
      </w:r>
      <w:r>
        <w:rPr>
          <w:rFonts w:hint="eastAsia" w:ascii="仿宋_GB2312" w:hAnsi="仿宋_GB2312" w:eastAsia="仿宋_GB2312" w:cs="仿宋_GB2312"/>
          <w:color w:val="000000" w:themeColor="text1"/>
          <w:sz w:val="32"/>
          <w:szCs w:val="32"/>
          <w:u w:val="none"/>
          <w14:textFill>
            <w14:solidFill>
              <w14:schemeClr w14:val="tx1"/>
            </w14:solidFill>
          </w14:textFill>
        </w:rPr>
        <w:t>农业现代化。推动浦北县国家农业现代化示范区、浦北县“五皇山”、灵山县“古荔”</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等</w:t>
      </w:r>
      <w:r>
        <w:rPr>
          <w:rFonts w:hint="eastAsia" w:ascii="仿宋_GB2312" w:hAnsi="仿宋_GB2312" w:eastAsia="仿宋_GB2312" w:cs="仿宋_GB2312"/>
          <w:color w:val="000000" w:themeColor="text1"/>
          <w:sz w:val="32"/>
          <w:szCs w:val="32"/>
          <w:u w:val="none"/>
          <w14:textFill>
            <w14:solidFill>
              <w14:schemeClr w14:val="tx1"/>
            </w14:solidFill>
          </w14:textFill>
        </w:rPr>
        <w:t>田园综合体建设，升级打造一批优势特色产业集群、现代特色农业示范区、现代农业产业园、休闲农业、田园综合体、产业强镇和“一村一品”示范村镇，促进一二三产业融合发展。每年创建自治区级农业示范区</w:t>
      </w:r>
      <w:r>
        <w:rPr>
          <w:rFonts w:ascii="仿宋_GB2312" w:hAnsi="仿宋_GB2312" w:eastAsia="仿宋_GB2312" w:cs="仿宋_GB2312"/>
          <w:color w:val="000000" w:themeColor="text1"/>
          <w:sz w:val="32"/>
          <w:szCs w:val="32"/>
          <w:u w:val="none"/>
          <w14:textFill>
            <w14:solidFill>
              <w14:schemeClr w14:val="tx1"/>
            </w14:solidFill>
          </w14:textFill>
        </w:rPr>
        <w:t xml:space="preserve">2 </w:t>
      </w:r>
      <w:r>
        <w:rPr>
          <w:rFonts w:hint="eastAsia" w:ascii="仿宋_GB2312" w:hAnsi="仿宋_GB2312" w:eastAsia="仿宋_GB2312" w:cs="仿宋_GB2312"/>
          <w:color w:val="000000" w:themeColor="text1"/>
          <w:sz w:val="32"/>
          <w:szCs w:val="32"/>
          <w:u w:val="none"/>
          <w14:textFill>
            <w14:solidFill>
              <w14:schemeClr w14:val="tx1"/>
            </w14:solidFill>
          </w14:textFill>
        </w:rPr>
        <w:t>个以上、县级农业示范区</w:t>
      </w:r>
      <w:r>
        <w:rPr>
          <w:rFonts w:ascii="仿宋_GB2312" w:hAnsi="仿宋_GB2312" w:eastAsia="仿宋_GB2312" w:cs="仿宋_GB2312"/>
          <w:color w:val="000000" w:themeColor="text1"/>
          <w:sz w:val="32"/>
          <w:szCs w:val="32"/>
          <w:u w:val="none"/>
          <w14:textFill>
            <w14:solidFill>
              <w14:schemeClr w14:val="tx1"/>
            </w14:solidFill>
          </w14:textFill>
        </w:rPr>
        <w:t xml:space="preserve">4 </w:t>
      </w:r>
      <w:r>
        <w:rPr>
          <w:rFonts w:hint="eastAsia" w:ascii="仿宋_GB2312" w:hAnsi="仿宋_GB2312" w:eastAsia="仿宋_GB2312" w:cs="仿宋_GB2312"/>
          <w:color w:val="000000" w:themeColor="text1"/>
          <w:sz w:val="32"/>
          <w:szCs w:val="32"/>
          <w:u w:val="none"/>
          <w14:textFill>
            <w14:solidFill>
              <w14:schemeClr w14:val="tx1"/>
            </w14:solidFill>
          </w14:textFill>
        </w:rPr>
        <w:t>个以上。大力发展荔枝、大蚝、生猪、肉鸡、奶水牛、陈皮、茶叶、中药材等全产业链，加大培育产值百亿元的陈皮以及产值50亿元的茶叶、水牛奶加工等产业链。培育发展</w:t>
      </w:r>
      <w:r>
        <w:rPr>
          <w:rFonts w:ascii="仿宋_GB2312" w:hAnsi="仿宋_GB2312" w:eastAsia="仿宋_GB2312" w:cs="仿宋_GB2312"/>
          <w:color w:val="000000" w:themeColor="text1"/>
          <w:sz w:val="32"/>
          <w:szCs w:val="32"/>
          <w:u w:val="none"/>
          <w14:textFill>
            <w14:solidFill>
              <w14:schemeClr w14:val="tx1"/>
            </w14:solidFill>
          </w14:textFill>
        </w:rPr>
        <w:t xml:space="preserve">3 </w:t>
      </w:r>
      <w:r>
        <w:rPr>
          <w:rFonts w:hint="eastAsia" w:ascii="仿宋_GB2312" w:hAnsi="仿宋_GB2312" w:eastAsia="仿宋_GB2312" w:cs="仿宋_GB2312"/>
          <w:color w:val="000000" w:themeColor="text1"/>
          <w:sz w:val="32"/>
          <w:szCs w:val="32"/>
          <w:u w:val="none"/>
          <w14:textFill>
            <w14:solidFill>
              <w14:schemeClr w14:val="tx1"/>
            </w14:solidFill>
          </w14:textFill>
        </w:rPr>
        <w:t>家以上国家级农业产业化龙头企业，加快推进自治区级农产品集聚区建设，提高农产品加工转化率。扶持创建特色农作物生产全程机械化示范基地、高效机收糖料蔗生产全程机械化示范基地，提升农业机械化水平。</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（三）实施农产品品质提升工程</w:t>
      </w:r>
      <w:r>
        <w:rPr>
          <w:rFonts w:hint="eastAsia" w:ascii="仿宋_GB2312" w:hAnsi="仿宋_GB2312" w:eastAsia="仿宋_GB2312" w:cs="仿宋_GB2312"/>
          <w:color w:val="000000" w:themeColor="text1"/>
          <w:sz w:val="32"/>
          <w:szCs w:val="32"/>
          <w:u w:val="none"/>
          <w14:textFill>
            <w14:solidFill>
              <w14:schemeClr w14:val="tx1"/>
            </w14:solidFill>
          </w14:textFill>
        </w:rPr>
        <w:t>。依托长寿康养、富硒有机生态优势，做大做强“钦”字号农产品品牌，打造具有区域影响力的名特优农产品。常态化推进“钦品入湾”，创建供粤港澳大湾区绿色农产品示范基地、出口基地，</w:t>
      </w:r>
      <w:r>
        <w:rPr>
          <w:rFonts w:hint="eastAsia" w:ascii="仿宋_GB2312" w:hAnsi="仿宋_GB2312" w:eastAsia="仿宋_GB2312" w:cs="仿宋_GB2312"/>
          <w:color w:val="000000" w:themeColor="text1"/>
          <w:sz w:val="32"/>
          <w:szCs w:val="32"/>
          <w:u w:val="none"/>
          <w:lang w:val="zh-TW"/>
          <w14:textFill>
            <w14:solidFill>
              <w14:schemeClr w14:val="tx1"/>
            </w14:solidFill>
          </w14:textFill>
        </w:rPr>
        <w:t>做好品牌宣传推介和产销对接，</w:t>
      </w:r>
      <w:r>
        <w:rPr>
          <w:rFonts w:hint="eastAsia" w:ascii="仿宋_GB2312" w:hAnsi="仿宋_GB2312" w:eastAsia="仿宋_GB2312" w:cs="仿宋_GB2312"/>
          <w:color w:val="000000" w:themeColor="text1"/>
          <w:sz w:val="32"/>
          <w:szCs w:val="32"/>
          <w:u w:val="none"/>
          <w14:textFill>
            <w14:solidFill>
              <w14:schemeClr w14:val="tx1"/>
            </w14:solidFill>
          </w14:textFill>
        </w:rPr>
        <w:t>加快贯通县乡村电子商务体系和快递物流配送体系，建设完善农</w:t>
      </w:r>
      <w:r>
        <w:rPr>
          <w:rFonts w:hint="eastAsia" w:ascii="Times New Roman" w:hAnsi="Times New Roman" w:eastAsia="仿宋_GB2312" w:cs="Times New Roman"/>
          <w:color w:val="000000" w:themeColor="text1"/>
          <w:sz w:val="32"/>
          <w:szCs w:val="32"/>
          <w:u w:val="none"/>
          <w14:textFill>
            <w14:solidFill>
              <w14:schemeClr w14:val="tx1"/>
            </w14:solidFill>
          </w14:textFill>
        </w:rPr>
        <w:t>村电商平台。</w:t>
      </w:r>
      <w:r>
        <w:rPr>
          <w:rFonts w:hint="eastAsia" w:ascii="仿宋_GB2312" w:hAnsi="仿宋_GB2312" w:eastAsia="仿宋_GB2312" w:cs="仿宋_GB2312"/>
          <w:color w:val="000000" w:themeColor="text1"/>
          <w:sz w:val="32"/>
          <w:szCs w:val="32"/>
          <w:u w:val="none"/>
          <w14:textFill>
            <w14:solidFill>
              <w14:schemeClr w14:val="tx1"/>
            </w14:solidFill>
          </w14:textFill>
        </w:rPr>
        <w:t>积极申报“浦北陈皮”</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“钦州莪术”等</w:t>
      </w:r>
      <w:r>
        <w:rPr>
          <w:rFonts w:hint="eastAsia" w:ascii="仿宋_GB2312" w:hAnsi="仿宋_GB2312" w:eastAsia="仿宋_GB2312" w:cs="仿宋_GB2312"/>
          <w:color w:val="000000" w:themeColor="text1"/>
          <w:sz w:val="32"/>
          <w:szCs w:val="32"/>
          <w:u w:val="none"/>
          <w14:textFill>
            <w14:solidFill>
              <w14:schemeClr w14:val="tx1"/>
            </w14:solidFill>
          </w14:textFill>
        </w:rPr>
        <w:t>国家地理标志，每年新增“三品一标”农产品10个以上。持续深入推进化肥农药减量增效行动，大力推广有机肥替代化肥、水肥一体化、绿色防控、绿肥种植等技术，推进农作物秸秆“五化”利用，确保全市秸秆综合利用率稳定在86%以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（四）实施乡村建设扩面提质工程</w:t>
      </w:r>
      <w:r>
        <w:rPr>
          <w:rFonts w:hint="eastAsia" w:ascii="仿宋_GB2312" w:hAnsi="仿宋_GB2312" w:eastAsia="仿宋_GB2312" w:cs="仿宋_GB2312"/>
          <w:color w:val="000000" w:themeColor="text1"/>
          <w:sz w:val="32"/>
          <w:szCs w:val="32"/>
          <w:u w:val="none"/>
          <w14:textFill>
            <w14:solidFill>
              <w14:schemeClr w14:val="tx1"/>
            </w14:solidFill>
          </w14:textFill>
        </w:rPr>
        <w:t>。</w:t>
      </w:r>
      <w:r>
        <w:rPr>
          <w:rFonts w:hint="eastAsia" w:ascii="仿宋_GB2312" w:hAnsi="仿宋_GB2312" w:eastAsia="仿宋_GB2312" w:cs="仿宋_GB2312"/>
          <w:color w:val="000000" w:themeColor="text1"/>
          <w:sz w:val="32"/>
          <w:szCs w:val="32"/>
          <w:u w:val="none"/>
          <w:lang w:val="zh-TW"/>
          <w14:textFill>
            <w14:solidFill>
              <w14:schemeClr w14:val="tx1"/>
            </w14:solidFill>
          </w14:textFill>
        </w:rPr>
        <w:t>实施农村人居环境整治提升五年行动，</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细化年度重点任务，逐项推进落实</w:t>
      </w:r>
      <w:r>
        <w:rPr>
          <w:rFonts w:hint="eastAsia" w:ascii="仿宋_GB2312" w:hAnsi="仿宋_GB2312" w:eastAsia="仿宋_GB2312" w:cs="仿宋_GB2312"/>
          <w:color w:val="000000" w:themeColor="text1"/>
          <w:sz w:val="32"/>
          <w:szCs w:val="32"/>
          <w:u w:val="none"/>
          <w:lang w:val="zh-TW"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14:textFill>
            <w14:solidFill>
              <w14:schemeClr w14:val="tx1"/>
            </w14:solidFill>
          </w14:textFill>
        </w:rPr>
        <w:t>统筹村庄基础设施升级、村庄清洁美化，</w:t>
      </w:r>
      <w:r>
        <w:rPr>
          <w:rFonts w:hint="eastAsia" w:ascii="仿宋_GB2312" w:hAnsi="仿宋_GB2312" w:eastAsia="仿宋_GB2312" w:cs="仿宋_GB2312"/>
          <w:color w:val="000000" w:themeColor="text1"/>
          <w:sz w:val="32"/>
          <w:szCs w:val="32"/>
          <w:u w:val="none"/>
          <w:lang w:val="zh-TW"/>
          <w14:textFill>
            <w14:solidFill>
              <w14:schemeClr w14:val="tx1"/>
            </w14:solidFill>
          </w14:textFill>
        </w:rPr>
        <w:t>突出农村厕所革命、生活污水治理、生活垃圾治理、村容村貌整体提升四项重点，</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使村庄建设与自然生态、历史文化、民族风情相协调，</w:t>
      </w:r>
      <w:r>
        <w:rPr>
          <w:rFonts w:hint="eastAsia" w:ascii="仿宋_GB2312" w:hAnsi="仿宋_GB2312" w:eastAsia="仿宋_GB2312" w:cs="仿宋_GB2312"/>
          <w:color w:val="000000" w:themeColor="text1"/>
          <w:sz w:val="32"/>
          <w:szCs w:val="32"/>
          <w:u w:val="none"/>
          <w:lang w:val="zh-TW"/>
          <w14:textFill>
            <w14:solidFill>
              <w14:schemeClr w14:val="tx1"/>
            </w14:solidFill>
          </w14:textFill>
        </w:rPr>
        <w:t>让乡村</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旧貌换新颜，打造具有</w:t>
      </w:r>
      <w:r>
        <w:rPr>
          <w:rFonts w:hint="eastAsia" w:ascii="仿宋_GB2312" w:hAnsi="仿宋_GB2312" w:eastAsia="仿宋_GB2312" w:cs="仿宋_GB2312"/>
          <w:color w:val="000000" w:themeColor="text1"/>
          <w:sz w:val="32"/>
          <w:szCs w:val="32"/>
          <w:u w:val="none"/>
          <w:lang w:val="zh-TW" w:eastAsia="zh-CN"/>
          <w14:textFill>
            <w14:solidFill>
              <w14:schemeClr w14:val="tx1"/>
            </w14:solidFill>
          </w14:textFill>
        </w:rPr>
        <w:t>钦州山海</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特色、彰显</w:t>
      </w:r>
      <w:r>
        <w:rPr>
          <w:rFonts w:hint="eastAsia" w:ascii="仿宋_GB2312" w:hAnsi="仿宋_GB2312" w:eastAsia="仿宋_GB2312" w:cs="仿宋_GB2312"/>
          <w:color w:val="000000" w:themeColor="text1"/>
          <w:sz w:val="32"/>
          <w:szCs w:val="32"/>
          <w:u w:val="none"/>
          <w:lang w:val="zh-TW" w:eastAsia="zh-CN"/>
          <w14:textFill>
            <w14:solidFill>
              <w14:schemeClr w14:val="tx1"/>
            </w14:solidFill>
          </w14:textFill>
        </w:rPr>
        <w:t>桂风壮韵</w:t>
      </w:r>
      <w:r>
        <w:rPr>
          <w:rFonts w:hint="default" w:ascii="仿宋_GB2312" w:hAnsi="仿宋_GB2312" w:eastAsia="仿宋_GB2312" w:cs="仿宋_GB2312"/>
          <w:color w:val="000000" w:themeColor="text1"/>
          <w:sz w:val="32"/>
          <w:szCs w:val="32"/>
          <w:u w:val="none"/>
          <w:lang w:val="zh-TW"/>
          <w14:textFill>
            <w14:solidFill>
              <w14:schemeClr w14:val="tx1"/>
            </w14:solidFill>
          </w14:textFill>
        </w:rPr>
        <w:t>的现代版“富春山居图”，留住鸟语花香的田园风光。</w:t>
      </w:r>
      <w:r>
        <w:rPr>
          <w:rFonts w:hint="eastAsia" w:ascii="仿宋_GB2312" w:hAnsi="仿宋_GB2312" w:eastAsia="仿宋_GB2312" w:cs="仿宋_GB2312"/>
          <w:color w:val="000000" w:themeColor="text1"/>
          <w:sz w:val="32"/>
          <w:szCs w:val="32"/>
          <w:u w:val="none"/>
          <w14:textFill>
            <w14:solidFill>
              <w14:schemeClr w14:val="tx1"/>
            </w14:solidFill>
          </w14:textFill>
        </w:rPr>
        <w:t>到“十四五”末，全市农村无害化卫生厕所普及率保持在</w:t>
      </w:r>
      <w:r>
        <w:rPr>
          <w:rFonts w:ascii="仿宋_GB2312" w:hAnsi="仿宋_GB2312" w:eastAsia="仿宋_GB2312" w:cs="仿宋_GB2312"/>
          <w:color w:val="000000" w:themeColor="text1"/>
          <w:sz w:val="32"/>
          <w:szCs w:val="32"/>
          <w:u w:val="none"/>
          <w14:textFill>
            <w14:solidFill>
              <w14:schemeClr w14:val="tx1"/>
            </w14:solidFill>
          </w14:textFill>
        </w:rPr>
        <w:t>90%</w:t>
      </w:r>
      <w:r>
        <w:rPr>
          <w:rFonts w:hint="eastAsia" w:ascii="仿宋_GB2312" w:hAnsi="仿宋_GB2312" w:eastAsia="仿宋_GB2312" w:cs="仿宋_GB2312"/>
          <w:color w:val="000000" w:themeColor="text1"/>
          <w:sz w:val="32"/>
          <w:szCs w:val="32"/>
          <w:u w:val="none"/>
          <w14:textFill>
            <w14:solidFill>
              <w14:schemeClr w14:val="tx1"/>
            </w14:solidFill>
          </w14:textFill>
        </w:rPr>
        <w:t>以上、生活污水集中治理村屯比例</w:t>
      </w:r>
      <w:r>
        <w:rPr>
          <w:rFonts w:ascii="仿宋_GB2312" w:hAnsi="仿宋_GB2312" w:eastAsia="仿宋_GB2312" w:cs="仿宋_GB2312"/>
          <w:color w:val="000000" w:themeColor="text1"/>
          <w:sz w:val="32"/>
          <w:szCs w:val="32"/>
          <w:u w:val="none"/>
          <w14:textFill>
            <w14:solidFill>
              <w14:schemeClr w14:val="tx1"/>
            </w14:solidFill>
          </w14:textFill>
        </w:rPr>
        <w:t>30%</w:t>
      </w:r>
      <w:r>
        <w:rPr>
          <w:rFonts w:hint="eastAsia" w:ascii="仿宋_GB2312" w:hAnsi="仿宋_GB2312" w:eastAsia="仿宋_GB2312" w:cs="仿宋_GB2312"/>
          <w:color w:val="000000" w:themeColor="text1"/>
          <w:sz w:val="32"/>
          <w:szCs w:val="32"/>
          <w:u w:val="none"/>
          <w14:textFill>
            <w14:solidFill>
              <w14:schemeClr w14:val="tx1"/>
            </w14:solidFill>
          </w14:textFill>
        </w:rPr>
        <w:t>以上、农村生活垃圾治理率保持在</w:t>
      </w:r>
      <w:r>
        <w:rPr>
          <w:rFonts w:ascii="仿宋_GB2312" w:hAnsi="仿宋_GB2312" w:eastAsia="仿宋_GB2312" w:cs="仿宋_GB2312"/>
          <w:color w:val="000000" w:themeColor="text1"/>
          <w:sz w:val="32"/>
          <w:szCs w:val="32"/>
          <w:u w:val="none"/>
          <w14:textFill>
            <w14:solidFill>
              <w14:schemeClr w14:val="tx1"/>
            </w14:solidFill>
          </w14:textFill>
        </w:rPr>
        <w:t>90%</w:t>
      </w:r>
      <w:r>
        <w:rPr>
          <w:rFonts w:hint="eastAsia" w:ascii="仿宋_GB2312" w:hAnsi="仿宋_GB2312" w:eastAsia="仿宋_GB2312" w:cs="仿宋_GB2312"/>
          <w:color w:val="000000" w:themeColor="text1"/>
          <w:sz w:val="32"/>
          <w:szCs w:val="32"/>
          <w:u w:val="none"/>
          <w14:textFill>
            <w14:solidFill>
              <w14:schemeClr w14:val="tx1"/>
            </w14:solidFill>
          </w14:textFill>
        </w:rPr>
        <w:t>以上，基本消除农村黑臭水体。以平陆运河沿线、广西钦州城乡融合发展试验区、靠近城镇及工业园区的村庄为重点，优先编制实用性村庄规划，按照“低成本、有产业、能保持、可推广”模式，持续推进“美丽村屯”示范村建设，打造具有钦州乡土特色和地域特点的美丽乡村。到“十四五”末，建成美丽村屯示范点</w:t>
      </w:r>
      <w:r>
        <w:rPr>
          <w:rFonts w:ascii="仿宋_GB2312" w:hAnsi="仿宋_GB2312" w:eastAsia="仿宋_GB2312" w:cs="仿宋_GB2312"/>
          <w:color w:val="000000" w:themeColor="text1"/>
          <w:sz w:val="32"/>
          <w:szCs w:val="32"/>
          <w:u w:val="none"/>
          <w14:textFill>
            <w14:solidFill>
              <w14:schemeClr w14:val="tx1"/>
            </w14:solidFill>
          </w14:textFill>
        </w:rPr>
        <w:t>1000</w:t>
      </w:r>
      <w:r>
        <w:rPr>
          <w:rFonts w:hint="eastAsia" w:ascii="仿宋_GB2312" w:hAnsi="仿宋_GB2312" w:eastAsia="仿宋_GB2312" w:cs="仿宋_GB2312"/>
          <w:color w:val="000000" w:themeColor="text1"/>
          <w:sz w:val="32"/>
          <w:szCs w:val="32"/>
          <w:u w:val="none"/>
          <w14:textFill>
            <w14:solidFill>
              <w14:schemeClr w14:val="tx1"/>
            </w14:solidFill>
          </w14:textFill>
        </w:rPr>
        <w:t>个以上。建立健全自治、法治、德治“三治融合”体系，完善“一约四会”制度，加强乡风文明建设，持续深入移风易俗，推动形成文明乡风、良好家风、淳朴民风。</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（五）实施农村重点领域综合改革工程</w:t>
      </w:r>
      <w:r>
        <w:rPr>
          <w:rFonts w:hint="eastAsia" w:ascii="仿宋_GB2312" w:hAnsi="仿宋_GB2312" w:eastAsia="仿宋_GB2312" w:cs="仿宋_GB2312"/>
          <w:color w:val="000000" w:themeColor="text1"/>
          <w:sz w:val="32"/>
          <w:szCs w:val="32"/>
          <w:u w:val="none"/>
          <w14:textFill>
            <w14:solidFill>
              <w14:schemeClr w14:val="tx1"/>
            </w14:solidFill>
          </w14:textFill>
        </w:rPr>
        <w:t>。始终把处理好农民与土地的关系作为主线，向改革要动力，破除体制机制障碍，盘活农村资产资源，激发农村资源要素活力，聚焦农村发展瓶颈制约，加快推进农村重点领域和关键环节改革，激发农村资源要素活力。巩固农村集体产权制度改革成果，拓展农村土地制度改革，开展整镇推进农村土地承包经营权流转试点，探索农村承包地“三权分置”实现形式。建立完善农村宅基地分配使用流转退出管理机制，探索盘活闲置农村宅基地和闲置农房。深化“三变”改革，探索建立农村集体资产监督管理服务体系，积极打造农村“三变”促进村级集体经济发展示范样板，创建自治区级“三变”改革示范县。创新农业经营体系，探索多种经营模式，实现小农户与现代农业有机衔接，增加村集体经济收入。</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（六）实施城乡融合发展试验区建设推进工程</w:t>
      </w:r>
      <w:r>
        <w:rPr>
          <w:rFonts w:hint="eastAsia" w:ascii="仿宋_GB2312" w:hAnsi="仿宋_GB2312" w:eastAsia="仿宋_GB2312" w:cs="仿宋_GB2312"/>
          <w:color w:val="000000" w:themeColor="text1"/>
          <w:sz w:val="32"/>
          <w:szCs w:val="32"/>
          <w:u w:val="none"/>
          <w14:textFill>
            <w14:solidFill>
              <w14:schemeClr w14:val="tx1"/>
            </w14:solidFill>
          </w14:textFill>
        </w:rPr>
        <w:t>。围绕“一园区、两基地、三中心、四产业、五小镇”整体布局，深化园区土地改革，加强农业产业规划，</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倾力打造</w:t>
      </w:r>
      <w:r>
        <w:rPr>
          <w:rFonts w:hint="eastAsia" w:ascii="仿宋_GB2312" w:hAnsi="仿宋_GB2312" w:eastAsia="仿宋_GB2312" w:cs="仿宋_GB2312"/>
          <w:color w:val="000000" w:themeColor="text1"/>
          <w:sz w:val="32"/>
          <w:szCs w:val="32"/>
          <w:u w:val="none"/>
          <w14:textFill>
            <w14:solidFill>
              <w14:schemeClr w14:val="tx1"/>
            </w14:solidFill>
          </w14:textFill>
        </w:rPr>
        <w:t>融合发展</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高标准试验田</w:t>
      </w:r>
      <w:r>
        <w:rPr>
          <w:rFonts w:hint="eastAsia" w:ascii="仿宋_GB2312" w:hAnsi="仿宋_GB2312" w:eastAsia="仿宋_GB2312" w:cs="仿宋_GB2312"/>
          <w:color w:val="000000" w:themeColor="text1"/>
          <w:sz w:val="32"/>
          <w:szCs w:val="32"/>
          <w:u w:val="none"/>
          <w14:textFill>
            <w14:solidFill>
              <w14:schemeClr w14:val="tx1"/>
            </w14:solidFill>
          </w14:textFill>
        </w:rPr>
        <w:t>。积极推进试验区内农村土地、产权改革先行先试，制定出台试验区</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内</w:t>
      </w:r>
      <w:r>
        <w:rPr>
          <w:rFonts w:hint="eastAsia" w:ascii="仿宋_GB2312" w:hAnsi="仿宋_GB2312" w:eastAsia="仿宋_GB2312" w:cs="仿宋_GB2312"/>
          <w:color w:val="000000" w:themeColor="text1"/>
          <w:sz w:val="32"/>
          <w:szCs w:val="32"/>
          <w:u w:val="none"/>
          <w14:textFill>
            <w14:solidFill>
              <w14:schemeClr w14:val="tx1"/>
            </w14:solidFill>
          </w14:textFill>
        </w:rPr>
        <w:t>农村土地承包经营权退出</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管理、</w:t>
      </w:r>
      <w:r>
        <w:rPr>
          <w:rFonts w:hint="eastAsia" w:ascii="仿宋_GB2312" w:hAnsi="仿宋_GB2312" w:eastAsia="仿宋_GB2312" w:cs="仿宋_GB2312"/>
          <w:color w:val="000000" w:themeColor="text1"/>
          <w:sz w:val="32"/>
          <w:szCs w:val="32"/>
          <w:u w:val="none"/>
          <w14:textFill>
            <w14:solidFill>
              <w14:schemeClr w14:val="tx1"/>
            </w14:solidFill>
          </w14:textFill>
        </w:rPr>
        <w:t>农村宅基地分配使用流转退出</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管理、</w:t>
      </w:r>
      <w:r>
        <w:rPr>
          <w:rFonts w:hint="eastAsia" w:ascii="仿宋_GB2312" w:hAnsi="仿宋_GB2312" w:eastAsia="仿宋_GB2312" w:cs="仿宋_GB2312"/>
          <w:color w:val="000000" w:themeColor="text1"/>
          <w:sz w:val="32"/>
          <w:szCs w:val="32"/>
          <w:u w:val="none"/>
          <w14:textFill>
            <w14:solidFill>
              <w14:schemeClr w14:val="tx1"/>
            </w14:solidFill>
          </w14:textFill>
        </w:rPr>
        <w:t>工商资本参与村集体合作促进村级集体经济发展实施</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等办法</w:t>
      </w:r>
      <w:r>
        <w:rPr>
          <w:rFonts w:hint="eastAsia" w:ascii="仿宋_GB2312" w:hAnsi="仿宋_GB2312" w:eastAsia="仿宋_GB2312" w:cs="仿宋_GB2312"/>
          <w:color w:val="000000" w:themeColor="text1"/>
          <w:sz w:val="32"/>
          <w:szCs w:val="32"/>
          <w:u w:val="none"/>
          <w14:textFill>
            <w14:solidFill>
              <w14:schemeClr w14:val="tx1"/>
            </w14:solidFill>
          </w14:textFill>
        </w:rPr>
        <w:t>，创新农村土地经营权流转模式，构建现代农业经营体系。合理布局试验区内优势特色产业，扩大招商引资，大力发展荔枝、花卉苗木、奶水牛、茶叶等产业，</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规划</w:t>
      </w:r>
      <w:r>
        <w:rPr>
          <w:rFonts w:hint="eastAsia" w:ascii="仿宋_GB2312" w:hAnsi="仿宋_GB2312" w:eastAsia="仿宋_GB2312" w:cs="仿宋_GB2312"/>
          <w:color w:val="000000" w:themeColor="text1"/>
          <w:sz w:val="32"/>
          <w:szCs w:val="32"/>
          <w:u w:val="none"/>
          <w14:textFill>
            <w14:solidFill>
              <w14:schemeClr w14:val="tx1"/>
            </w14:solidFill>
          </w14:textFill>
        </w:rPr>
        <w:t>扶持建设伯劳玉兰花示范区（县级）、中国亚热带种苗产业孵化基地和水果苗木（武利）电商基地</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等一批一二三产融合发展示范基地</w:t>
      </w:r>
      <w:r>
        <w:rPr>
          <w:rFonts w:hint="eastAsia" w:ascii="仿宋_GB2312" w:hAnsi="仿宋_GB2312" w:eastAsia="仿宋_GB2312" w:cs="仿宋_GB2312"/>
          <w:color w:val="000000" w:themeColor="text1"/>
          <w:sz w:val="32"/>
          <w:szCs w:val="32"/>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（七）实施巩固拓展脱贫攻坚成果同乡村振兴有效衔接工程</w:t>
      </w:r>
      <w:r>
        <w:rPr>
          <w:rFonts w:hint="eastAsia" w:ascii="仿宋_GB2312" w:hAnsi="仿宋_GB2312" w:eastAsia="仿宋_GB2312" w:cs="仿宋_GB2312"/>
          <w:color w:val="000000" w:themeColor="text1"/>
          <w:sz w:val="32"/>
          <w:szCs w:val="32"/>
          <w:u w:val="none"/>
          <w14:textFill>
            <w14:solidFill>
              <w14:schemeClr w14:val="tx1"/>
            </w14:solidFill>
          </w14:textFill>
        </w:rPr>
        <w:t>。严格落实“四个不摘”要求，保持现有帮扶政策总体稳定，全面巩固“两不愁三保障”成果，坚决守住不发生规模性返贫底线。完善县级“5”和村级“3”特色产业规划布局，推动各级现代农业产业园、农村产业融合发展示范园等在脱贫地区覆盖面每年提高5%以上。深入实施农村创新创业带头人培育行动，积极培育高素质农民，多渠道增加农民就业，提高农民经营性收入水平，先富带后富、帮后富，逐步实现共同富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楷体_GB2312" w:hAnsi="楷体_GB2312" w:eastAsia="楷体_GB2312" w:cs="楷体_GB2312"/>
          <w:color w:val="000000" w:themeColor="text1"/>
          <w:sz w:val="32"/>
          <w:szCs w:val="32"/>
          <w:u w:val="none"/>
          <w14:textFill>
            <w14:solidFill>
              <w14:schemeClr w14:val="tx1"/>
            </w14:solidFill>
          </w14:textFill>
        </w:rPr>
        <w:t>（八）实施农业农村综合保障工程</w:t>
      </w:r>
      <w:r>
        <w:rPr>
          <w:rFonts w:hint="eastAsia" w:ascii="仿宋_GB2312" w:hAnsi="仿宋_GB2312" w:eastAsia="仿宋_GB2312" w:cs="仿宋_GB2312"/>
          <w:color w:val="000000" w:themeColor="text1"/>
          <w:sz w:val="32"/>
          <w:szCs w:val="32"/>
          <w:u w:val="none"/>
          <w14:textFill>
            <w14:solidFill>
              <w14:schemeClr w14:val="tx1"/>
            </w14:solidFill>
          </w14:textFill>
        </w:rPr>
        <w:t>。围绕守住生态环境、民生保障、安全发展三条底线，胸怀“国之大者”，</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促进农业生态环境持续向好，补齐</w:t>
      </w:r>
      <w:r>
        <w:rPr>
          <w:rFonts w:hint="eastAsia" w:ascii="仿宋_GB2312" w:hAnsi="仿宋_GB2312" w:eastAsia="仿宋_GB2312" w:cs="仿宋_GB2312"/>
          <w:color w:val="000000" w:themeColor="text1"/>
          <w:sz w:val="32"/>
          <w:szCs w:val="32"/>
          <w:u w:val="none"/>
          <w14:textFill>
            <w14:solidFill>
              <w14:schemeClr w14:val="tx1"/>
            </w14:solidFill>
          </w14:textFill>
        </w:rPr>
        <w:t>民生</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短板，激发农村发展动力，确保农业生产全年无重大事故发生，</w:t>
      </w:r>
      <w:r>
        <w:rPr>
          <w:rFonts w:hint="eastAsia" w:ascii="仿宋_GB2312" w:hAnsi="仿宋_GB2312" w:eastAsia="仿宋_GB2312" w:cs="仿宋_GB2312"/>
          <w:color w:val="000000" w:themeColor="text1"/>
          <w:sz w:val="32"/>
          <w:szCs w:val="32"/>
          <w:u w:val="none"/>
          <w14:textFill>
            <w14:solidFill>
              <w14:schemeClr w14:val="tx1"/>
            </w14:solidFill>
          </w14:textFill>
        </w:rPr>
        <w:t>保障农业农村健康、持续、高质量发展。落实安全生产“一岗双责”要求，持续抓好</w:t>
      </w:r>
      <w:r>
        <w:rPr>
          <w:rFonts w:hint="eastAsia" w:ascii="仿宋_GB2312" w:eastAsia="仿宋_GB2312" w:cs="仿宋_GB2312"/>
          <w:color w:val="000000" w:themeColor="text1"/>
          <w:kern w:val="0"/>
          <w:sz w:val="32"/>
          <w:szCs w:val="32"/>
          <w:u w:val="none"/>
          <w14:textFill>
            <w14:solidFill>
              <w14:schemeClr w14:val="tx1"/>
            </w14:solidFill>
          </w14:textFill>
        </w:rPr>
        <w:t>渔业生产、农机作业、种植业和畜牧业等领域安全生产，加强安全生产</w:t>
      </w:r>
      <w:r>
        <w:rPr>
          <w:rFonts w:hint="eastAsia" w:ascii="仿宋_GB2312" w:hAnsi="仿宋_GB2312" w:eastAsia="仿宋_GB2312" w:cs="仿宋_GB2312"/>
          <w:color w:val="000000" w:themeColor="text1"/>
          <w:sz w:val="32"/>
          <w:szCs w:val="32"/>
          <w:u w:val="none"/>
          <w14:textFill>
            <w14:solidFill>
              <w14:schemeClr w14:val="tx1"/>
            </w14:solidFill>
          </w14:textFill>
        </w:rPr>
        <w:t>风险隐患排查整治，强化安全生产宣传教育培训，提高安全生产意识和应急处置能力。加大农业执法力度，严厉打击非法捕捞、销售假劣农资、</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违规建农房、</w:t>
      </w:r>
      <w:r>
        <w:rPr>
          <w:rFonts w:hint="eastAsia" w:ascii="仿宋_GB2312" w:hAnsi="仿宋_GB2312" w:eastAsia="仿宋_GB2312" w:cs="仿宋_GB2312"/>
          <w:color w:val="000000" w:themeColor="text1"/>
          <w:sz w:val="32"/>
          <w:szCs w:val="32"/>
          <w:u w:val="none"/>
          <w14:textFill>
            <w14:solidFill>
              <w14:schemeClr w14:val="tx1"/>
            </w14:solidFill>
          </w14:textFill>
        </w:rPr>
        <w:t>私屠滥宰等违法行为。贯彻落实绿水青山就是金山银山的生态理念，持续抓好农业面源污染整治、畜禽粪污资源化综合利用、养殖尾水处理等，大力推进农业清洁生产。抓实抓好常态化疫情防控措施落实，守护农民群众生命安全和身体健康。</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黑体"/>
          <w:color w:val="000000" w:themeColor="text1"/>
          <w:sz w:val="32"/>
          <w:szCs w:val="32"/>
          <w:u w:val="none"/>
          <w14:textFill>
            <w14:solidFill>
              <w14:schemeClr w14:val="tx1"/>
            </w14:solidFill>
          </w14:textFill>
        </w:rPr>
      </w:pPr>
      <w:r>
        <w:rPr>
          <w:rFonts w:hint="eastAsia" w:ascii="黑体" w:hAnsi="黑体" w:eastAsia="黑体" w:cs="黑体"/>
          <w:color w:val="000000" w:themeColor="text1"/>
          <w:sz w:val="32"/>
          <w:szCs w:val="32"/>
          <w:u w:val="none"/>
          <w14:textFill>
            <w14:solidFill>
              <w14:schemeClr w14:val="tx1"/>
            </w14:solidFill>
          </w14:textFill>
        </w:rPr>
        <w:t>三、以有力的纪律作风保障“美乡村”攻坚行动落实落细</w:t>
      </w:r>
    </w:p>
    <w:p>
      <w:pPr>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推进四轮驱动</w:t>
      </w:r>
      <w:r>
        <w:rPr>
          <w:rFonts w:hint="eastAsia" w:ascii="仿宋_GB2312" w:hAnsi="仿宋_GB2312" w:eastAsia="仿宋_GB2312" w:cs="仿宋_GB2312"/>
          <w:color w:val="000000" w:themeColor="text1"/>
          <w:sz w:val="32"/>
          <w:szCs w:val="32"/>
          <w:u w:val="none"/>
          <w14:textFill>
            <w14:solidFill>
              <w14:schemeClr w14:val="tx1"/>
            </w14:solidFill>
          </w14:textFill>
        </w:rPr>
        <w:t>战略“美乡村”攻坚行动是一场能力、素质、水平、作风的实践战，要围绕深入实施八大工程，以“项目化运作、精细化服务、品牌化引领、常态化考核”为抓手，进一步压实责任、提振作风、强化考核，推动各项重大项目、重大事项落实落地，以重点突破带动全面推进。</w:t>
      </w:r>
    </w:p>
    <w:p>
      <w:pPr>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ascii="Times New Roman" w:hAnsi="Times New Roman" w:eastAsia="仿宋_GB2312" w:cs="Times New Roman"/>
          <w:color w:val="000000" w:themeColor="text1"/>
          <w:spacing w:val="6"/>
          <w:sz w:val="32"/>
          <w:szCs w:val="32"/>
          <w:u w:val="none"/>
          <w14:textFill>
            <w14:solidFill>
              <w14:schemeClr w14:val="tx1"/>
            </w14:solidFill>
          </w14:textFill>
        </w:rPr>
      </w:pPr>
      <w:r>
        <w:rPr>
          <w:rFonts w:hint="eastAsia" w:ascii="楷体_GB2312" w:hAnsi="楷体_GB2312" w:eastAsia="楷体_GB2312" w:cs="楷体_GB2312"/>
          <w:color w:val="000000" w:themeColor="text1"/>
          <w:spacing w:val="6"/>
          <w:sz w:val="32"/>
          <w:szCs w:val="32"/>
          <w:u w:val="none"/>
          <w14:textFill>
            <w14:solidFill>
              <w14:schemeClr w14:val="tx1"/>
            </w14:solidFill>
          </w14:textFill>
        </w:rPr>
        <w:t>（一）压实责任抓落实。</w:t>
      </w:r>
      <w:r>
        <w:rPr>
          <w:rFonts w:hint="eastAsia" w:ascii="仿宋_GB2312" w:hAnsi="仿宋_GB2312" w:eastAsia="仿宋_GB2312" w:cs="仿宋_GB2312"/>
          <w:color w:val="000000" w:themeColor="text1"/>
          <w:sz w:val="32"/>
          <w:szCs w:val="32"/>
          <w:u w:val="none"/>
          <w14:textFill>
            <w14:solidFill>
              <w14:schemeClr w14:val="tx1"/>
            </w14:solidFill>
          </w14:textFill>
        </w:rPr>
        <w:t>突出顶层设计与管理，成立专项工作领导小组，实行项目化运作，分年度建立重点领域工作项目清单，明确目标任务、工作措施、完成时限、牵头单位、责任单位以及责任领导。实行</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领导包抓项目责任制，做到一个项目、一</w:t>
      </w:r>
      <w:r>
        <w:rPr>
          <w:rFonts w:hint="eastAsia" w:ascii="Times New Roman" w:hAnsi="Times New Roman" w:eastAsia="仿宋_GB2312" w:cs="Times New Roman"/>
          <w:color w:val="000000" w:themeColor="text1"/>
          <w:spacing w:val="6"/>
          <w:sz w:val="32"/>
          <w:szCs w:val="32"/>
          <w:u w:val="none"/>
          <w:lang w:eastAsia="zh-CN"/>
          <w14:textFill>
            <w14:solidFill>
              <w14:schemeClr w14:val="tx1"/>
            </w14:solidFill>
          </w14:textFill>
        </w:rPr>
        <w:t>个专班</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、一套人员、一抓到底。</w:t>
      </w:r>
      <w:r>
        <w:rPr>
          <w:rFonts w:hint="eastAsia" w:ascii="仿宋_GB2312" w:hAnsi="仿宋_GB2312" w:eastAsia="仿宋_GB2312" w:cs="仿宋_GB2312"/>
          <w:color w:val="000000" w:themeColor="text1"/>
          <w:sz w:val="32"/>
          <w:szCs w:val="32"/>
          <w:u w:val="none"/>
          <w14:textFill>
            <w14:solidFill>
              <w14:schemeClr w14:val="tx1"/>
            </w14:solidFill>
          </w14:textFill>
        </w:rPr>
        <w:t>实施清单化管理，做到以单定责、照单履责、按单问责，</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推动各单位和个人把该挑的担子挑起来，把该扛的责任扛起来，把该抓的事情抓起来，做到本级的事不推给上级、自己的事不推给别人、今天的事不推到明天</w:t>
      </w:r>
      <w:r>
        <w:rPr>
          <w:rFonts w:hint="eastAsia" w:ascii="仿宋_GB2312" w:hAnsi="仿宋_GB2312" w:eastAsia="仿宋_GB2312" w:cs="仿宋_GB2312"/>
          <w:color w:val="000000" w:themeColor="text1"/>
          <w:sz w:val="32"/>
          <w:szCs w:val="32"/>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hint="eastAsia" w:ascii="Times New Roman" w:hAnsi="Times New Roman" w:eastAsia="仿宋_GB2312" w:cs="Times New Roman"/>
          <w:color w:val="000000" w:themeColor="text1"/>
          <w:spacing w:val="6"/>
          <w:sz w:val="32"/>
          <w:szCs w:val="32"/>
          <w:u w:val="none"/>
          <w:lang w:eastAsia="zh-CN"/>
          <w14:textFill>
            <w14:solidFill>
              <w14:schemeClr w14:val="tx1"/>
            </w14:solidFill>
          </w14:textFill>
        </w:rPr>
      </w:pPr>
      <w:r>
        <w:rPr>
          <w:rFonts w:hint="eastAsia" w:ascii="楷体_GB2312" w:hAnsi="楷体_GB2312" w:eastAsia="楷体_GB2312" w:cs="楷体_GB2312"/>
          <w:color w:val="000000" w:themeColor="text1"/>
          <w:spacing w:val="6"/>
          <w:sz w:val="32"/>
          <w:szCs w:val="32"/>
          <w:u w:val="none"/>
          <w14:textFill>
            <w14:solidFill>
              <w14:schemeClr w14:val="tx1"/>
            </w14:solidFill>
          </w14:textFill>
        </w:rPr>
        <w:t>（二）提振作风抓落实。</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大力弘扬担当实干作风、大兴狠抓落实之风，持续深入开展“三落实敢担当创一流”专项行动，切实把心思放到担当实干上、把精力放在狠抓落实上、把能力体现在有力执行上</w:t>
      </w:r>
      <w:r>
        <w:rPr>
          <w:rFonts w:hint="eastAsia" w:ascii="Times New Roman" w:hAnsi="Times New Roman" w:eastAsia="仿宋_GB2312" w:cs="Times New Roman"/>
          <w:color w:val="000000" w:themeColor="text1"/>
          <w:spacing w:val="6"/>
          <w:sz w:val="32"/>
          <w:szCs w:val="32"/>
          <w:u w:val="none"/>
          <w:lang w:eastAsia="zh-CN"/>
          <w14:textFill>
            <w14:solidFill>
              <w14:schemeClr w14:val="tx1"/>
            </w14:solidFill>
          </w14:textFill>
        </w:rPr>
        <w:t>。</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坚持“在岗一分钟、干好六十秒”，进一步强化“今天再晚也是早，明天再早也是晚”的意识，始终保持“紧在前头、快在前头、干在前头”的奔跑状态，雷厉风行、快马加鞭，推动工作落到实处、见到实效。</w:t>
      </w:r>
      <w:r>
        <w:rPr>
          <w:rFonts w:hint="eastAsia" w:ascii="Times New Roman" w:hAnsi="Times New Roman" w:eastAsia="仿宋_GB2312" w:cs="Times New Roman"/>
          <w:color w:val="000000" w:themeColor="text1"/>
          <w:spacing w:val="6"/>
          <w:sz w:val="32"/>
          <w:szCs w:val="32"/>
          <w:u w:val="none"/>
          <w:lang w:eastAsia="zh-CN"/>
          <w14:textFill>
            <w14:solidFill>
              <w14:schemeClr w14:val="tx1"/>
            </w14:solidFill>
          </w14:textFill>
        </w:rPr>
        <w:t>提升精细化服务本领。深入项目一线，摸清问题，聚焦主要矛盾和矛盾主要方面，着力解决</w:t>
      </w:r>
      <w:r>
        <w:rPr>
          <w:rFonts w:hint="default" w:ascii="Times New Roman" w:hAnsi="Times New Roman" w:eastAsia="仿宋_GB2312" w:cs="Times New Roman"/>
          <w:color w:val="000000" w:themeColor="text1"/>
          <w:spacing w:val="6"/>
          <w:sz w:val="32"/>
          <w:szCs w:val="32"/>
          <w:u w:val="none"/>
          <w:lang w:eastAsia="zh-CN"/>
          <w14:textFill>
            <w14:solidFill>
              <w14:schemeClr w14:val="tx1"/>
            </w14:solidFill>
          </w14:textFill>
        </w:rPr>
        <w:t>阻碍项目推进的审批、用地、资金、政策处理等方面突出问题</w:t>
      </w:r>
      <w:r>
        <w:rPr>
          <w:rFonts w:hint="eastAsia" w:ascii="Times New Roman" w:hAnsi="Times New Roman" w:eastAsia="仿宋_GB2312" w:cs="Times New Roman"/>
          <w:color w:val="000000" w:themeColor="text1"/>
          <w:spacing w:val="6"/>
          <w:sz w:val="32"/>
          <w:szCs w:val="32"/>
          <w:u w:val="none"/>
          <w:lang w:eastAsia="zh-CN"/>
          <w14:textFill>
            <w14:solidFill>
              <w14:schemeClr w14:val="tx1"/>
            </w14:solidFill>
          </w14:textFill>
        </w:rPr>
        <w:t>。提升争创工作品牌化一流意识。争创全区一流或排名靠前，争取更多的钦州经验和亮点在全区推广，力争更多的现场会和经验发言花落钦州，不断提升钦州“三农”工作在全区乃至全国的影响力。</w:t>
      </w:r>
    </w:p>
    <w:p>
      <w:pPr>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ascii="Times New Roman" w:hAnsi="Times New Roman" w:eastAsia="仿宋_GB2312" w:cs="Times New Roman"/>
          <w:color w:val="000000" w:themeColor="text1"/>
          <w:spacing w:val="6"/>
          <w:sz w:val="32"/>
          <w:szCs w:val="32"/>
          <w:u w:val="none"/>
          <w14:textFill>
            <w14:solidFill>
              <w14:schemeClr w14:val="tx1"/>
            </w14:solidFill>
          </w14:textFill>
        </w:rPr>
      </w:pPr>
      <w:r>
        <w:rPr>
          <w:rFonts w:hint="eastAsia" w:ascii="楷体_GB2312" w:hAnsi="楷体_GB2312" w:eastAsia="楷体_GB2312" w:cs="楷体_GB2312"/>
          <w:color w:val="000000" w:themeColor="text1"/>
          <w:spacing w:val="6"/>
          <w:sz w:val="32"/>
          <w:szCs w:val="32"/>
          <w:u w:val="none"/>
          <w14:textFill>
            <w14:solidFill>
              <w14:schemeClr w14:val="tx1"/>
            </w14:solidFill>
          </w14:textFill>
        </w:rPr>
        <w:t>（三）强化考核抓落实。</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坚持“以成败论英雄”“以实绩论英雄”“以结果论英雄”，看结果、比贡献，拿效果来检验一切工作。对项目进行实时跟踪，将进展情况挂牌上墙，实行周报告、月排名、季通报、年考评制度，牵头科室要每周向责任领导报告工作进展，局办公室每月汇总进度进行排名上墙，局党组每季度听取一次工作进展情况汇报并对项目进展缓慢的责任领导、牵头单位进行约谈，每年对项目完成情况进行考评，</w:t>
      </w:r>
      <w:r>
        <w:rPr>
          <w:rFonts w:hint="eastAsia" w:ascii="仿宋_GB2312" w:hAnsi="仿宋_GB2312" w:eastAsia="仿宋_GB2312" w:cs="仿宋_GB2312"/>
          <w:color w:val="000000" w:themeColor="text1"/>
          <w:sz w:val="32"/>
          <w:szCs w:val="32"/>
          <w:u w:val="none"/>
          <w14:textFill>
            <w14:solidFill>
              <w14:schemeClr w14:val="tx1"/>
            </w14:solidFill>
          </w14:textFill>
        </w:rPr>
        <w:t>推动考核科学化、民主化、制度化、常态化。强化考核结果运用，将实施</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“美乡村”</w:t>
      </w:r>
      <w:r>
        <w:rPr>
          <w:rFonts w:hint="eastAsia" w:ascii="仿宋_GB2312" w:hAnsi="仿宋_GB2312" w:eastAsia="仿宋_GB2312" w:cs="仿宋_GB2312"/>
          <w:color w:val="000000" w:themeColor="text1"/>
          <w:sz w:val="32"/>
          <w:szCs w:val="32"/>
          <w:u w:val="none"/>
          <w14:textFill>
            <w14:solidFill>
              <w14:schemeClr w14:val="tx1"/>
            </w14:solidFill>
          </w14:textFill>
        </w:rPr>
        <w:t>攻坚行动作为检验领导干部作风和工作成效的主战场，优先重用“三牛”“三将”干部，严肃处理“三拍”“三悠”干部，确保</w:t>
      </w:r>
      <w:r>
        <w:rPr>
          <w:rFonts w:hint="eastAsia" w:ascii="Times New Roman" w:hAnsi="Times New Roman" w:eastAsia="仿宋_GB2312" w:cs="Times New Roman"/>
          <w:color w:val="000000" w:themeColor="text1"/>
          <w:spacing w:val="6"/>
          <w:sz w:val="32"/>
          <w:szCs w:val="32"/>
          <w:u w:val="none"/>
          <w14:textFill>
            <w14:solidFill>
              <w14:schemeClr w14:val="tx1"/>
            </w14:solidFill>
          </w14:textFill>
        </w:rPr>
        <w:t>“美乡村”</w:t>
      </w:r>
      <w:r>
        <w:rPr>
          <w:rFonts w:hint="eastAsia" w:ascii="仿宋_GB2312" w:hAnsi="仿宋_GB2312" w:eastAsia="仿宋_GB2312" w:cs="仿宋_GB2312"/>
          <w:color w:val="000000" w:themeColor="text1"/>
          <w:sz w:val="32"/>
          <w:szCs w:val="32"/>
          <w:u w:val="none"/>
          <w14:textFill>
            <w14:solidFill>
              <w14:schemeClr w14:val="tx1"/>
            </w14:solidFill>
          </w14:textFill>
        </w:rPr>
        <w:t>攻坚行动各项任务落实落细落到位。</w:t>
      </w:r>
    </w:p>
    <w:p>
      <w:pPr>
        <w:keepNext w:val="0"/>
        <w:keepLines w:val="0"/>
        <w:pageBreakBefore w:val="0"/>
        <w:widowControl w:val="0"/>
        <w:kinsoku/>
        <w:wordWrap/>
        <w:overflowPunct/>
        <w:topLinePunct w:val="0"/>
        <w:autoSpaceDE/>
        <w:autoSpaceDN/>
        <w:bidi w:val="0"/>
        <w:adjustRightInd w:val="0"/>
        <w:snapToGrid w:val="0"/>
        <w:spacing w:line="560" w:lineRule="exact"/>
        <w:ind w:left="1598" w:leftChars="304" w:hanging="960" w:hangingChars="300"/>
        <w:textAlignment w:val="auto"/>
        <w:rPr>
          <w:rFonts w:ascii="仿宋_GB2312" w:hAnsi="仿宋_GB2312" w:eastAsia="仿宋_GB2312" w:cs="仿宋_GB2312"/>
          <w:color w:val="000000" w:themeColor="text1"/>
          <w:sz w:val="32"/>
          <w:szCs w:val="32"/>
          <w:u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60" w:lineRule="exact"/>
        <w:ind w:left="1918" w:leftChars="304" w:hanging="1280" w:hangingChars="4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附件</w:t>
      </w:r>
      <w:r>
        <w:rPr>
          <w:rFonts w:hint="eastAsia" w:ascii="仿宋_GB2312" w:hAnsi="仿宋_GB2312" w:eastAsia="仿宋_GB2312" w:cs="仿宋_GB2312"/>
          <w:color w:val="000000" w:themeColor="text1"/>
          <w:spacing w:val="6"/>
          <w:sz w:val="32"/>
          <w:szCs w:val="32"/>
          <w:u w:val="none"/>
          <w14:textFill>
            <w14:solidFill>
              <w14:schemeClr w14:val="tx1"/>
            </w14:solidFill>
          </w14:textFill>
        </w:rPr>
        <w:t>：1.钦州市农业农村局全面推进四轮驱动战略“美乡村”</w:t>
      </w:r>
      <w:r>
        <w:rPr>
          <w:rFonts w:hint="eastAsia" w:ascii="仿宋_GB2312" w:hAnsi="仿宋_GB2312" w:eastAsia="仿宋_GB2312" w:cs="仿宋_GB2312"/>
          <w:color w:val="000000" w:themeColor="text1"/>
          <w:sz w:val="32"/>
          <w:szCs w:val="32"/>
          <w:u w:val="none"/>
          <w14:textFill>
            <w14:solidFill>
              <w14:schemeClr w14:val="tx1"/>
            </w14:solidFill>
          </w14:textFill>
        </w:rPr>
        <w:t>攻坚行动领导小组成员名单</w:t>
      </w:r>
    </w:p>
    <w:p>
      <w:pPr>
        <w:keepNext w:val="0"/>
        <w:keepLines w:val="0"/>
        <w:pageBreakBefore w:val="0"/>
        <w:widowControl w:val="0"/>
        <w:kinsoku/>
        <w:wordWrap/>
        <w:overflowPunct/>
        <w:topLinePunct w:val="0"/>
        <w:autoSpaceDE/>
        <w:autoSpaceDN/>
        <w:bidi w:val="0"/>
        <w:adjustRightInd w:val="0"/>
        <w:snapToGrid w:val="0"/>
        <w:spacing w:line="560" w:lineRule="exact"/>
        <w:ind w:left="1916" w:leftChars="760" w:hanging="320" w:hangingChars="1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2.钦州市农业农村局2022年全面推进四轮驱动战略“美乡村”攻坚行动重点任务分解表</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ascii="黑体" w:hAnsi="黑体" w:eastAsia="黑体" w:cs="方正小标宋简体"/>
          <w:color w:val="000000" w:themeColor="text1"/>
          <w:sz w:val="32"/>
          <w:szCs w:val="32"/>
          <w:u w:val="none"/>
          <w14:textFill>
            <w14:solidFill>
              <w14:schemeClr w14:val="tx1"/>
            </w14:solidFill>
          </w14:textFill>
        </w:rPr>
      </w:pPr>
      <w:r>
        <w:rPr>
          <w:rFonts w:hint="eastAsia" w:ascii="黑体" w:hAnsi="黑体" w:eastAsia="黑体" w:cs="方正小标宋简体"/>
          <w:color w:val="000000" w:themeColor="text1"/>
          <w:sz w:val="32"/>
          <w:szCs w:val="32"/>
          <w:u w:val="none"/>
          <w14:textFill>
            <w14:solidFill>
              <w14:schemeClr w14:val="tx1"/>
            </w14:solidFill>
          </w14:textFill>
        </w:rPr>
        <w:t>附件1</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方正小标宋简体" w:hAnsi="方正小标宋简体" w:eastAsia="方正小标宋简体" w:cs="方正小标宋简体"/>
          <w:color w:val="000000" w:themeColor="text1"/>
          <w:sz w:val="44"/>
          <w:szCs w:val="44"/>
          <w:u w:val="none"/>
          <w14:textFill>
            <w14:solidFill>
              <w14:schemeClr w14:val="tx1"/>
            </w14:solidFill>
          </w14:textFill>
        </w:rPr>
      </w:pPr>
      <w:bookmarkStart w:id="1" w:name="_GoBack"/>
      <w:bookmarkEnd w:id="1"/>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方正小标宋简体" w:hAnsi="方正小标宋简体" w:eastAsia="方正小标宋简体" w:cs="方正小标宋简体"/>
          <w:color w:val="000000" w:themeColor="text1"/>
          <w:sz w:val="44"/>
          <w:szCs w:val="44"/>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14:textFill>
            <w14:solidFill>
              <w14:schemeClr w14:val="tx1"/>
            </w14:solidFill>
          </w14:textFill>
        </w:rPr>
        <w:t>钦州市农业农村局全面推进四轮驱动战略</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u w:val="none"/>
          <w14:textFill>
            <w14:solidFill>
              <w14:schemeClr w14:val="tx1"/>
            </w14:solidFill>
          </w14:textFill>
        </w:rPr>
        <w:t>“美乡村”攻坚行动领导小组成员名单</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ascii="仿宋_GB2312" w:hAnsi="仿宋_GB2312" w:eastAsia="仿宋_GB2312" w:cs="仿宋_GB2312"/>
          <w:color w:val="000000" w:themeColor="text1"/>
          <w:sz w:val="32"/>
          <w:szCs w:val="32"/>
          <w:u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为确保全面推进四轮驱动战略“美乡村”攻坚行动取得实效，决定成立钦州市农业农村局全面推进四轮驱动战略“美乡村”攻坚行动领导小组，成员名单如下：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组  长：韦戴卓  </w:t>
      </w:r>
      <w:r>
        <w:rPr>
          <w:rFonts w:hint="eastAsia" w:ascii="仿宋_GB2312" w:hAnsi="仿宋_GB2312" w:eastAsia="仿宋_GB2312" w:cs="仿宋_GB2312"/>
          <w:color w:val="000000" w:themeColor="text1"/>
          <w:spacing w:val="-16"/>
          <w:sz w:val="32"/>
          <w:szCs w:val="32"/>
          <w:u w:val="none"/>
          <w14:textFill>
            <w14:solidFill>
              <w14:schemeClr w14:val="tx1"/>
            </w14:solidFill>
          </w14:textFill>
        </w:rPr>
        <w:t>市委农办主任，市农业农村局党组书记、局长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副组长：黄英梅  市委农办副主任，市农业农村局党组成员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彭定兵  市农业农村局党组成员、副局长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张  强  市农业农村局副局长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邱  治  市农业农村局党组成员、副局长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韩彰桂  市农业农村局党组成员、总农艺师</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韦大器  市农业农村局二级调研员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符兰芳  市农业农村局三级调研员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黄振军  市农业农村局三级调研员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李勇军  市农业农村局四级调研员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 xml:space="preserve">        劳式义  市农业农村局四级调研员</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黄海斌  市水果产业发展中心主任</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凌启昌  市农科所所长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李儒河  市渔政渔港监督支队支队长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hint="eastAsia"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吴激生  市农业综合行政执法支队支队长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成  员：何宗东  灵山县农业农村局局长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林  森  浦北县农业农村局局长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符兆建  钦南区农业农村局局长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关成德  钦南区农业农村局局长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仿宋_GB2312" w:eastAsia="仿宋_GB2312" w:cs="仿宋_GB2312"/>
          <w:color w:val="000000" w:themeColor="text1"/>
          <w:sz w:val="32"/>
          <w:szCs w:val="32"/>
          <w:u w:val="none"/>
          <w14:textFill>
            <w14:solidFill>
              <w14:schemeClr w14:val="tx1"/>
            </w14:solidFill>
          </w14:textFill>
        </w:rPr>
      </w:pPr>
      <w:bookmarkStart w:id="0" w:name="_Toc26346"/>
      <w:r>
        <w:rPr>
          <w:rFonts w:hint="eastAsia" w:ascii="仿宋_GB2312" w:hAnsi="仿宋_GB2312" w:eastAsia="仿宋_GB2312" w:cs="仿宋_GB2312"/>
          <w:color w:val="000000" w:themeColor="text1"/>
          <w:sz w:val="32"/>
          <w:szCs w:val="32"/>
          <w:u w:val="none"/>
          <w14:textFill>
            <w14:solidFill>
              <w14:schemeClr w14:val="tx1"/>
            </w14:solidFill>
          </w14:textFill>
        </w:rPr>
        <w:t>莫云峰  中国（广西）自由贸易试验区钦州港片区</w:t>
      </w:r>
    </w:p>
    <w:p>
      <w:pPr>
        <w:keepNext w:val="0"/>
        <w:keepLines w:val="0"/>
        <w:pageBreakBefore w:val="0"/>
        <w:widowControl w:val="0"/>
        <w:kinsoku/>
        <w:wordWrap/>
        <w:overflowPunct/>
        <w:topLinePunct w:val="0"/>
        <w:autoSpaceDE/>
        <w:autoSpaceDN/>
        <w:bidi w:val="0"/>
        <w:adjustRightInd w:val="0"/>
        <w:snapToGrid w:val="0"/>
        <w:spacing w:line="560" w:lineRule="exact"/>
        <w:ind w:firstLine="3200" w:firstLineChars="10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社会事务局</w:t>
      </w:r>
      <w:bookmarkEnd w:id="0"/>
      <w:r>
        <w:rPr>
          <w:rFonts w:hint="eastAsia" w:ascii="仿宋_GB2312" w:hAnsi="仿宋_GB2312" w:eastAsia="仿宋_GB2312" w:cs="仿宋_GB2312"/>
          <w:color w:val="000000" w:themeColor="text1"/>
          <w:sz w:val="32"/>
          <w:szCs w:val="32"/>
          <w:u w:val="none"/>
          <w14:textFill>
            <w14:solidFill>
              <w14:schemeClr w14:val="tx1"/>
            </w14:solidFill>
          </w14:textFill>
        </w:rPr>
        <w:t>协理局长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叶建春  </w:t>
      </w:r>
      <w:r>
        <w:rPr>
          <w:rFonts w:hint="eastAsia" w:ascii="仿宋_GB2312" w:eastAsia="仿宋_GB2312"/>
          <w:color w:val="000000" w:themeColor="text1"/>
          <w:sz w:val="32"/>
          <w:szCs w:val="32"/>
          <w:u w:val="none"/>
          <w14:textFill>
            <w14:solidFill>
              <w14:schemeClr w14:val="tx1"/>
            </w14:solidFill>
          </w14:textFill>
        </w:rPr>
        <w:t>市农业农村局办公室主任</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翁惠萍  </w:t>
      </w:r>
      <w:r>
        <w:rPr>
          <w:rFonts w:hint="eastAsia" w:ascii="仿宋_GB2312" w:eastAsia="仿宋_GB2312"/>
          <w:color w:val="000000" w:themeColor="text1"/>
          <w:sz w:val="32"/>
          <w:szCs w:val="32"/>
          <w:u w:val="none"/>
          <w14:textFill>
            <w14:solidFill>
              <w14:schemeClr w14:val="tx1"/>
            </w14:solidFill>
          </w14:textFill>
        </w:rPr>
        <w:t>市农业农村局人事科科长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谭  倩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政策法规科</w:t>
      </w:r>
      <w:r>
        <w:rPr>
          <w:rFonts w:hint="eastAsia" w:ascii="仿宋_GB2312" w:eastAsia="仿宋_GB2312"/>
          <w:color w:val="000000" w:themeColor="text1"/>
          <w:sz w:val="32"/>
          <w:szCs w:val="32"/>
          <w:u w:val="none"/>
          <w14:textFill>
            <w14:solidFill>
              <w14:schemeClr w14:val="tx1"/>
            </w14:solidFill>
          </w14:textFill>
        </w:rPr>
        <w:t>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pacing w:val="-20"/>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吴再强  </w:t>
      </w:r>
      <w:r>
        <w:rPr>
          <w:rFonts w:hint="eastAsia" w:ascii="仿宋_GB2312" w:eastAsia="仿宋_GB2312"/>
          <w:color w:val="000000" w:themeColor="text1"/>
          <w:spacing w:val="-20"/>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pacing w:val="-20"/>
          <w:sz w:val="32"/>
          <w:szCs w:val="32"/>
          <w:u w:val="none"/>
          <w14:textFill>
            <w14:solidFill>
              <w14:schemeClr w14:val="tx1"/>
            </w14:solidFill>
          </w14:textFill>
        </w:rPr>
        <w:t>农村合作经济指导科负责人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pacing w:val="-11"/>
          <w:kern w:val="0"/>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邓善能  </w:t>
      </w:r>
      <w:r>
        <w:rPr>
          <w:rFonts w:hint="eastAsia" w:ascii="仿宋_GB2312" w:hAnsi="Times New Roman" w:eastAsia="仿宋_GB2312" w:cs="Times New Roman"/>
          <w:color w:val="000000" w:themeColor="text1"/>
          <w:spacing w:val="-11"/>
          <w:kern w:val="0"/>
          <w:sz w:val="32"/>
          <w:szCs w:val="32"/>
          <w:u w:val="none"/>
          <w14:textFill>
            <w14:solidFill>
              <w14:schemeClr w14:val="tx1"/>
            </w14:solidFill>
          </w14:textFill>
        </w:rPr>
        <w:t>市农业农村局发展规划与乡村产业发展科</w:t>
      </w:r>
    </w:p>
    <w:p>
      <w:pPr>
        <w:keepNext w:val="0"/>
        <w:keepLines w:val="0"/>
        <w:pageBreakBefore w:val="0"/>
        <w:widowControl w:val="0"/>
        <w:kinsoku/>
        <w:wordWrap/>
        <w:overflowPunct/>
        <w:topLinePunct w:val="0"/>
        <w:autoSpaceDE/>
        <w:autoSpaceDN/>
        <w:bidi w:val="0"/>
        <w:adjustRightInd w:val="0"/>
        <w:snapToGrid w:val="0"/>
        <w:spacing w:line="560" w:lineRule="exact"/>
        <w:ind w:firstLine="3278" w:firstLineChars="1100"/>
        <w:textAlignment w:val="auto"/>
        <w:rPr>
          <w:rFonts w:ascii="仿宋_GB2312" w:hAnsi="Times New Roman" w:eastAsia="仿宋_GB2312" w:cs="Times New Roman"/>
          <w:color w:val="000000" w:themeColor="text1"/>
          <w:spacing w:val="-11"/>
          <w:kern w:val="0"/>
          <w:sz w:val="32"/>
          <w:szCs w:val="32"/>
          <w:u w:val="none"/>
          <w14:textFill>
            <w14:solidFill>
              <w14:schemeClr w14:val="tx1"/>
            </w14:solidFill>
          </w14:textFill>
        </w:rPr>
      </w:pPr>
      <w:r>
        <w:rPr>
          <w:rFonts w:hint="eastAsia" w:ascii="仿宋_GB2312" w:hAnsi="Times New Roman" w:eastAsia="仿宋_GB2312" w:cs="Times New Roman"/>
          <w:color w:val="000000" w:themeColor="text1"/>
          <w:spacing w:val="-11"/>
          <w:kern w:val="0"/>
          <w:sz w:val="32"/>
          <w:szCs w:val="32"/>
          <w:u w:val="none"/>
          <w14:textFill>
            <w14:solidFill>
              <w14:schemeClr w14:val="tx1"/>
            </w14:solidFill>
          </w14:textFill>
        </w:rPr>
        <w:t>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梁菊秀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计划财务科科长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pacing w:val="-20"/>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黄光耀  </w:t>
      </w:r>
      <w:r>
        <w:rPr>
          <w:rFonts w:hint="eastAsia" w:ascii="仿宋_GB2312" w:eastAsia="仿宋_GB2312"/>
          <w:color w:val="000000" w:themeColor="text1"/>
          <w:spacing w:val="-20"/>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pacing w:val="-20"/>
          <w:sz w:val="32"/>
          <w:szCs w:val="32"/>
          <w:u w:val="none"/>
          <w14:textFill>
            <w14:solidFill>
              <w14:schemeClr w14:val="tx1"/>
            </w14:solidFill>
          </w14:textFill>
        </w:rPr>
        <w:t>农村社会事业促进科负责人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董丽霞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市场与信息化科科长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李日耀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科技教育科科长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pacing w:val="-20"/>
          <w:kern w:val="0"/>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陆  霖  </w:t>
      </w:r>
      <w:r>
        <w:rPr>
          <w:rFonts w:hint="eastAsia" w:ascii="仿宋_GB2312" w:hAnsi="Times New Roman" w:eastAsia="仿宋_GB2312" w:cs="Times New Roman"/>
          <w:color w:val="000000" w:themeColor="text1"/>
          <w:spacing w:val="-20"/>
          <w:kern w:val="0"/>
          <w:sz w:val="32"/>
          <w:szCs w:val="32"/>
          <w:u w:val="none"/>
          <w14:textFill>
            <w14:solidFill>
              <w14:schemeClr w14:val="tx1"/>
            </w14:solidFill>
          </w14:textFill>
        </w:rPr>
        <w:t>市农业农村局农产品质量安全监管科科长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米世光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种植业管理科负责人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韦子先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畜牧与饲料科负责人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曹频英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兽医科科长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张正光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渔业科科长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陈传东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渔政渔港监督科负责人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申荣萍  市农业农村局农机化科副科长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朱开宇  市农业农村局农田科科长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陈铭斯  市农业农村局农办综合科负责人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 xml:space="preserve">陈  殷  </w:t>
      </w:r>
      <w:r>
        <w:rPr>
          <w:rFonts w:hint="eastAsia" w:ascii="仿宋_GB2312" w:eastAsia="仿宋_GB2312"/>
          <w:color w:val="000000" w:themeColor="text1"/>
          <w:sz w:val="32"/>
          <w:szCs w:val="32"/>
          <w:u w:val="none"/>
          <w14:textFill>
            <w14:solidFill>
              <w14:schemeClr w14:val="tx1"/>
            </w14:solidFill>
          </w14:textFill>
        </w:rPr>
        <w:t>市农业农村局</w:t>
      </w:r>
      <w:r>
        <w:rPr>
          <w:rFonts w:hint="eastAsia" w:ascii="仿宋_GB2312" w:hAnsi="Times New Roman" w:eastAsia="仿宋_GB2312" w:cs="Times New Roman"/>
          <w:color w:val="000000" w:themeColor="text1"/>
          <w:sz w:val="32"/>
          <w:szCs w:val="32"/>
          <w:u w:val="none"/>
          <w14:textFill>
            <w14:solidFill>
              <w14:schemeClr w14:val="tx1"/>
            </w14:solidFill>
          </w14:textFill>
        </w:rPr>
        <w:t>机关党委、机关纪委负责人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hAnsi="Times New Roman" w:eastAsia="仿宋_GB2312" w:cs="Times New Roman"/>
          <w:color w:val="000000" w:themeColor="text1"/>
          <w:sz w:val="32"/>
          <w:szCs w:val="32"/>
          <w:u w:val="none"/>
          <w14:textFill>
            <w14:solidFill>
              <w14:schemeClr w14:val="tx1"/>
            </w14:solidFill>
          </w14:textFill>
        </w:rPr>
        <w:t>刘旭钦  市土壤肥料工作站站长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黄凤玲  市种子管理站副</w:t>
      </w:r>
      <w:r>
        <w:rPr>
          <w:rFonts w:hint="eastAsia" w:ascii="仿宋_GB2312" w:hAnsi="Times New Roman" w:eastAsia="仿宋_GB2312" w:cs="Times New Roman"/>
          <w:color w:val="000000" w:themeColor="text1"/>
          <w:sz w:val="32"/>
          <w:szCs w:val="32"/>
          <w:u w:val="none"/>
          <w14:textFill>
            <w14:solidFill>
              <w14:schemeClr w14:val="tx1"/>
            </w14:solidFill>
          </w14:textFill>
        </w:rPr>
        <w:t>站长</w:t>
      </w:r>
      <w:r>
        <w:rPr>
          <w:rFonts w:hint="eastAsia" w:ascii="仿宋_GB2312" w:eastAsia="仿宋_GB2312"/>
          <w:color w:val="000000" w:themeColor="text1"/>
          <w:sz w:val="32"/>
          <w:szCs w:val="32"/>
          <w:u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廖毅强  市农机技术推广站</w:t>
      </w:r>
      <w:r>
        <w:rPr>
          <w:rFonts w:hint="eastAsia" w:ascii="仿宋_GB2312" w:hAnsi="Times New Roman" w:eastAsia="仿宋_GB2312" w:cs="Times New Roman"/>
          <w:color w:val="000000" w:themeColor="text1"/>
          <w:sz w:val="32"/>
          <w:szCs w:val="32"/>
          <w:u w:val="none"/>
          <w14:textFill>
            <w14:solidFill>
              <w14:schemeClr w14:val="tx1"/>
            </w14:solidFill>
          </w14:textFill>
        </w:rPr>
        <w:t>站长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陈  军  市植物保护站</w:t>
      </w:r>
      <w:r>
        <w:rPr>
          <w:rFonts w:hint="eastAsia" w:ascii="仿宋_GB2312" w:hAnsi="Times New Roman" w:eastAsia="仿宋_GB2312" w:cs="Times New Roman"/>
          <w:color w:val="000000" w:themeColor="text1"/>
          <w:sz w:val="32"/>
          <w:szCs w:val="32"/>
          <w:u w:val="none"/>
          <w14:textFill>
            <w14:solidFill>
              <w14:schemeClr w14:val="tx1"/>
            </w14:solidFill>
          </w14:textFill>
        </w:rPr>
        <w:t>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曹春梅  市农业遥感监测站</w:t>
      </w:r>
      <w:r>
        <w:rPr>
          <w:rFonts w:hint="eastAsia" w:ascii="仿宋_GB2312" w:hAnsi="Times New Roman" w:eastAsia="仿宋_GB2312" w:cs="Times New Roman"/>
          <w:color w:val="000000" w:themeColor="text1"/>
          <w:sz w:val="32"/>
          <w:szCs w:val="32"/>
          <w:u w:val="none"/>
          <w14:textFill>
            <w14:solidFill>
              <w14:schemeClr w14:val="tx1"/>
            </w14:solidFill>
          </w14:textFill>
        </w:rPr>
        <w:t>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刘华才  市经济作物技术推广站</w:t>
      </w:r>
      <w:r>
        <w:rPr>
          <w:rFonts w:hint="eastAsia" w:ascii="仿宋_GB2312" w:hAnsi="Times New Roman" w:eastAsia="仿宋_GB2312" w:cs="Times New Roman"/>
          <w:color w:val="000000" w:themeColor="text1"/>
          <w:sz w:val="32"/>
          <w:szCs w:val="32"/>
          <w:u w:val="none"/>
          <w14:textFill>
            <w14:solidFill>
              <w14:schemeClr w14:val="tx1"/>
            </w14:solidFill>
          </w14:textFill>
        </w:rPr>
        <w:t>站长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赵天义  市农业技术推广中心主任</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韦爱花  市农业生态与资源保护站负责人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潘喜芳  市农产品质量安全检测中心主任</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黄伟德  市水产技术推广站</w:t>
      </w:r>
      <w:r>
        <w:rPr>
          <w:rFonts w:hint="eastAsia" w:ascii="仿宋_GB2312" w:hAnsi="Times New Roman" w:eastAsia="仿宋_GB2312" w:cs="Times New Roman"/>
          <w:color w:val="000000" w:themeColor="text1"/>
          <w:sz w:val="32"/>
          <w:szCs w:val="32"/>
          <w:u w:val="none"/>
          <w14:textFill>
            <w14:solidFill>
              <w14:schemeClr w14:val="tx1"/>
            </w14:solidFill>
          </w14:textFill>
        </w:rPr>
        <w:t>站长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吴  娟  市渔业电台台长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张华智  市动物疫病预防控制中心主任</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黄世娟  市畜牧站</w:t>
      </w:r>
      <w:r>
        <w:rPr>
          <w:rFonts w:hint="eastAsia" w:ascii="仿宋_GB2312" w:hAnsi="Times New Roman" w:eastAsia="仿宋_GB2312" w:cs="Times New Roman"/>
          <w:color w:val="000000" w:themeColor="text1"/>
          <w:sz w:val="32"/>
          <w:szCs w:val="32"/>
          <w:u w:val="none"/>
          <w14:textFill>
            <w14:solidFill>
              <w14:schemeClr w14:val="tx1"/>
            </w14:solidFill>
          </w14:textFill>
        </w:rPr>
        <w:t>站长</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eastAsia="仿宋_GB2312"/>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林家德  市中华白海豚保护管理处主任</w:t>
      </w:r>
    </w:p>
    <w:p>
      <w:pPr>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ascii="仿宋_GB2312" w:hAnsi="Times New Roman" w:eastAsia="仿宋_GB2312" w:cs="Times New Roman"/>
          <w:color w:val="000000" w:themeColor="text1"/>
          <w:sz w:val="32"/>
          <w:szCs w:val="32"/>
          <w:u w:val="none"/>
          <w14:textFill>
            <w14:solidFill>
              <w14:schemeClr w14:val="tx1"/>
            </w14:solidFill>
          </w14:textFill>
        </w:rPr>
      </w:pPr>
      <w:r>
        <w:rPr>
          <w:rFonts w:hint="eastAsia" w:ascii="仿宋_GB2312" w:eastAsia="仿宋_GB2312"/>
          <w:color w:val="000000" w:themeColor="text1"/>
          <w:sz w:val="32"/>
          <w:szCs w:val="32"/>
          <w:u w:val="none"/>
          <w14:textFill>
            <w14:solidFill>
              <w14:schemeClr w14:val="tx1"/>
            </w14:solidFill>
          </w14:textFill>
        </w:rPr>
        <w:t>黄国新  市农村能源站站长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领导小组下设办公室，设在局办公室，由邱治兼任办公室主任，叶建春、翁惠萍、陈  殷、李林强、黄泽钢为成员。负责全面推进四轮驱动战略“美乡村”攻坚行动统筹、督查、考核等日常工作。</w:t>
      </w:r>
    </w:p>
    <w:p>
      <w:pPr>
        <w:keepNext w:val="0"/>
        <w:keepLines w:val="0"/>
        <w:pageBreakBefore w:val="0"/>
        <w:widowControl w:val="0"/>
        <w:kinsoku/>
        <w:wordWrap/>
        <w:overflowPunct/>
        <w:topLinePunct w:val="0"/>
        <w:autoSpaceDE/>
        <w:autoSpaceDN/>
        <w:bidi w:val="0"/>
        <w:spacing w:line="560" w:lineRule="exact"/>
        <w:textAlignment w:val="auto"/>
        <w:rPr>
          <w:rFonts w:ascii="仿宋_GB2312" w:hAnsi="仿宋_GB2312" w:eastAsia="仿宋_GB2312" w:cs="仿宋_GB2312"/>
          <w:color w:val="000000" w:themeColor="text1"/>
          <w:sz w:val="32"/>
          <w:szCs w:val="32"/>
          <w:u w:val="none"/>
          <w14:textFill>
            <w14:solidFill>
              <w14:schemeClr w14:val="tx1"/>
            </w14:solidFill>
          </w14:textFill>
        </w:rPr>
      </w:pPr>
    </w:p>
    <w:p>
      <w:pPr>
        <w:pStyle w:val="2"/>
        <w:rPr>
          <w:rFonts w:ascii="仿宋_GB2312" w:hAnsi="仿宋_GB2312" w:eastAsia="仿宋_GB2312" w:cs="仿宋_GB2312"/>
          <w:color w:val="000000" w:themeColor="text1"/>
          <w:sz w:val="32"/>
          <w:szCs w:val="32"/>
          <w:u w:val="none"/>
          <w14:textFill>
            <w14:solidFill>
              <w14:schemeClr w14:val="tx1"/>
            </w14:solidFill>
          </w14:textFill>
        </w:rPr>
        <w:sectPr>
          <w:footerReference r:id="rId3" w:type="default"/>
          <w:pgSz w:w="11906" w:h="16838"/>
          <w:pgMar w:top="2098" w:right="1531" w:bottom="1588" w:left="1531" w:header="851" w:footer="992" w:gutter="0"/>
          <w:pgNumType w:fmt="numberInDash"/>
          <w:cols w:space="0" w:num="1"/>
          <w:docGrid w:type="lines" w:linePitch="312" w:charSpace="0"/>
        </w:sectPr>
      </w:pPr>
    </w:p>
    <w:p/>
    <w:p>
      <w:pPr>
        <w:rPr>
          <w:rFonts w:ascii="仿宋_GB2312" w:hAnsi="仿宋_GB2312" w:eastAsia="仿宋_GB2312" w:cs="仿宋_GB2312"/>
          <w:color w:val="000000" w:themeColor="text1"/>
          <w:sz w:val="32"/>
          <w:szCs w:val="32"/>
          <w:u w:val="none"/>
          <w14:textFill>
            <w14:solidFill>
              <w14:schemeClr w14:val="tx1"/>
            </w14:solidFill>
          </w14:textFill>
        </w:rPr>
      </w:pPr>
    </w:p>
    <w:p>
      <w:pPr>
        <w:pStyle w:val="2"/>
        <w:rPr>
          <w:rFonts w:ascii="仿宋_GB2312" w:hAnsi="仿宋_GB2312" w:eastAsia="仿宋_GB2312" w:cs="仿宋_GB2312"/>
          <w:color w:val="000000" w:themeColor="text1"/>
          <w:sz w:val="32"/>
          <w:szCs w:val="32"/>
          <w:u w:val="none"/>
          <w14:textFill>
            <w14:solidFill>
              <w14:schemeClr w14:val="tx1"/>
            </w14:solidFill>
          </w14:textFill>
        </w:rPr>
      </w:pPr>
    </w:p>
    <w:p>
      <w:pPr>
        <w:rPr>
          <w:rFonts w:ascii="仿宋_GB2312" w:hAnsi="仿宋_GB2312" w:eastAsia="仿宋_GB2312" w:cs="仿宋_GB2312"/>
          <w:color w:val="000000" w:themeColor="text1"/>
          <w:sz w:val="32"/>
          <w:szCs w:val="32"/>
          <w:u w:val="none"/>
          <w14:textFill>
            <w14:solidFill>
              <w14:schemeClr w14:val="tx1"/>
            </w14:solidFill>
          </w14:textFill>
        </w:rPr>
      </w:pPr>
    </w:p>
    <w:p>
      <w:pPr>
        <w:pStyle w:val="2"/>
        <w:rPr>
          <w:rFonts w:ascii="仿宋_GB2312" w:hAnsi="仿宋_GB2312" w:eastAsia="仿宋_GB2312" w:cs="仿宋_GB2312"/>
          <w:color w:val="000000" w:themeColor="text1"/>
          <w:sz w:val="32"/>
          <w:szCs w:val="32"/>
          <w:u w:val="none"/>
          <w14:textFill>
            <w14:solidFill>
              <w14:schemeClr w14:val="tx1"/>
            </w14:solidFill>
          </w14:textFill>
        </w:rPr>
      </w:pPr>
    </w:p>
    <w:p>
      <w:pPr>
        <w:rPr>
          <w:rFonts w:ascii="仿宋_GB2312" w:hAnsi="仿宋_GB2312" w:eastAsia="仿宋_GB2312" w:cs="仿宋_GB2312"/>
          <w:color w:val="000000" w:themeColor="text1"/>
          <w:sz w:val="32"/>
          <w:szCs w:val="32"/>
          <w:u w:val="none"/>
          <w14:textFill>
            <w14:solidFill>
              <w14:schemeClr w14:val="tx1"/>
            </w14:solidFill>
          </w14:textFill>
        </w:rPr>
      </w:pPr>
    </w:p>
    <w:p>
      <w:pPr>
        <w:pStyle w:val="2"/>
        <w:rPr>
          <w:rFonts w:ascii="仿宋_GB2312" w:hAnsi="仿宋_GB2312" w:eastAsia="仿宋_GB2312" w:cs="仿宋_GB2312"/>
          <w:color w:val="000000" w:themeColor="text1"/>
          <w:sz w:val="32"/>
          <w:szCs w:val="32"/>
          <w:u w:val="none"/>
          <w14:textFill>
            <w14:solidFill>
              <w14:schemeClr w14:val="tx1"/>
            </w14:solidFill>
          </w14:textFill>
        </w:rPr>
      </w:pPr>
    </w:p>
    <w:p>
      <w:pPr>
        <w:rPr>
          <w:rFonts w:ascii="仿宋_GB2312" w:hAnsi="仿宋_GB2312" w:eastAsia="仿宋_GB2312" w:cs="仿宋_GB2312"/>
          <w:color w:val="000000" w:themeColor="text1"/>
          <w:sz w:val="32"/>
          <w:szCs w:val="32"/>
          <w:u w:val="none"/>
          <w14:textFill>
            <w14:solidFill>
              <w14:schemeClr w14:val="tx1"/>
            </w14:solidFill>
          </w14:textFill>
        </w:rPr>
      </w:pPr>
    </w:p>
    <w:p>
      <w:pPr>
        <w:pStyle w:val="2"/>
        <w:rPr>
          <w:rFonts w:ascii="仿宋_GB2312" w:hAnsi="仿宋_GB2312" w:eastAsia="仿宋_GB2312" w:cs="仿宋_GB2312"/>
          <w:color w:val="000000" w:themeColor="text1"/>
          <w:sz w:val="32"/>
          <w:szCs w:val="32"/>
          <w:u w:val="none"/>
          <w14:textFill>
            <w14:solidFill>
              <w14:schemeClr w14:val="tx1"/>
            </w14:solidFill>
          </w14:textFill>
        </w:rPr>
      </w:pPr>
    </w:p>
    <w:p>
      <w:pPr>
        <w:rPr>
          <w:rFonts w:ascii="仿宋_GB2312" w:hAnsi="仿宋_GB2312" w:eastAsia="仿宋_GB2312" w:cs="仿宋_GB2312"/>
          <w:color w:val="000000" w:themeColor="text1"/>
          <w:sz w:val="32"/>
          <w:szCs w:val="32"/>
          <w:u w:val="none"/>
          <w14:textFill>
            <w14:solidFill>
              <w14:schemeClr w14:val="tx1"/>
            </w14:solidFill>
          </w14:textFill>
        </w:rPr>
      </w:pPr>
    </w:p>
    <w:p>
      <w:pPr>
        <w:pStyle w:val="2"/>
        <w:rPr>
          <w:rFonts w:ascii="仿宋_GB2312" w:hAnsi="仿宋_GB2312" w:eastAsia="仿宋_GB2312" w:cs="仿宋_GB2312"/>
          <w:color w:val="000000" w:themeColor="text1"/>
          <w:sz w:val="32"/>
          <w:szCs w:val="32"/>
          <w:u w:val="none"/>
          <w14:textFill>
            <w14:solidFill>
              <w14:schemeClr w14:val="tx1"/>
            </w14:solidFill>
          </w14:textFill>
        </w:rPr>
      </w:pPr>
    </w:p>
    <w:p>
      <w:pPr>
        <w:rPr>
          <w:rFonts w:ascii="仿宋_GB2312" w:hAnsi="仿宋_GB2312" w:eastAsia="仿宋_GB2312" w:cs="仿宋_GB2312"/>
          <w:color w:val="000000" w:themeColor="text1"/>
          <w:sz w:val="32"/>
          <w:szCs w:val="32"/>
          <w:u w:val="none"/>
          <w14:textFill>
            <w14:solidFill>
              <w14:schemeClr w14:val="tx1"/>
            </w14:solidFill>
          </w14:textFill>
        </w:rPr>
      </w:pPr>
    </w:p>
    <w:p>
      <w:pPr>
        <w:rPr>
          <w:rFonts w:ascii="仿宋_GB2312" w:hAnsi="仿宋_GB2312" w:eastAsia="仿宋_GB2312" w:cs="仿宋_GB2312"/>
          <w:color w:val="000000" w:themeColor="text1"/>
          <w:sz w:val="32"/>
          <w:szCs w:val="32"/>
          <w:u w:val="none"/>
          <w14:textFill>
            <w14:solidFill>
              <w14:schemeClr w14:val="tx1"/>
            </w14:solidFill>
          </w14:textFill>
        </w:rPr>
      </w:pPr>
    </w:p>
    <w:p>
      <w:pPr>
        <w:pStyle w:val="2"/>
        <w:rPr>
          <w:rFonts w:ascii="仿宋_GB2312" w:hAnsi="仿宋_GB2312" w:eastAsia="仿宋_GB2312" w:cs="仿宋_GB2312"/>
          <w:color w:val="000000" w:themeColor="text1"/>
          <w:sz w:val="32"/>
          <w:szCs w:val="32"/>
          <w:u w:val="none"/>
          <w14:textFill>
            <w14:solidFill>
              <w14:schemeClr w14:val="tx1"/>
            </w14:solidFill>
          </w14:textFill>
        </w:rPr>
      </w:pPr>
    </w:p>
    <w:p>
      <w:pPr>
        <w:keepNext w:val="0"/>
        <w:keepLines w:val="0"/>
        <w:pageBreakBefore w:val="0"/>
        <w:widowControl w:val="0"/>
        <w:kinsoku/>
        <w:wordWrap/>
        <w:overflowPunct/>
        <w:topLinePunct w:val="0"/>
        <w:autoSpaceDE/>
        <w:autoSpaceDN/>
        <w:bidi w:val="0"/>
        <w:snapToGrid/>
        <w:spacing w:line="56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公开方式：</w:t>
      </w:r>
      <w:r>
        <w:rPr>
          <w:rFonts w:hint="eastAsia" w:ascii="黑体" w:hAnsi="黑体" w:eastAsia="黑体" w:cs="黑体"/>
          <w:sz w:val="32"/>
          <w:szCs w:val="32"/>
          <w:lang w:eastAsia="zh-CN"/>
        </w:rPr>
        <w:t>主动</w:t>
      </w:r>
      <w:r>
        <w:rPr>
          <w:rFonts w:hint="eastAsia" w:ascii="黑体" w:hAnsi="黑体" w:eastAsia="黑体" w:cs="黑体"/>
          <w:sz w:val="32"/>
          <w:szCs w:val="32"/>
        </w:rPr>
        <w:t>公开</w:t>
      </w:r>
    </w:p>
    <w:p>
      <w:pPr>
        <w:pStyle w:val="9"/>
      </w:pPr>
      <w:r>
        <mc:AlternateContent>
          <mc:Choice Requires="wps">
            <w:drawing>
              <wp:anchor distT="0" distB="0" distL="114300" distR="114300" simplePos="0" relativeHeight="251661312" behindDoc="0" locked="0" layoutInCell="1" allowOverlap="1">
                <wp:simplePos x="0" y="0"/>
                <wp:positionH relativeFrom="column">
                  <wp:posOffset>10160</wp:posOffset>
                </wp:positionH>
                <wp:positionV relativeFrom="paragraph">
                  <wp:posOffset>13970</wp:posOffset>
                </wp:positionV>
                <wp:extent cx="5747385" cy="11430"/>
                <wp:effectExtent l="0" t="0" r="0" b="0"/>
                <wp:wrapNone/>
                <wp:docPr id="4" name="直接连接符 4"/>
                <wp:cNvGraphicFramePr/>
                <a:graphic xmlns:a="http://schemas.openxmlformats.org/drawingml/2006/main">
                  <a:graphicData uri="http://schemas.microsoft.com/office/word/2010/wordprocessingShape">
                    <wps:wsp>
                      <wps:cNvCnPr/>
                      <wps:spPr>
                        <a:xfrm>
                          <a:off x="0" y="0"/>
                          <a:ext cx="5747385" cy="1143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upright="1"/>
                    </wps:wsp>
                  </a:graphicData>
                </a:graphic>
              </wp:anchor>
            </w:drawing>
          </mc:Choice>
          <mc:Fallback>
            <w:pict>
              <v:line id="_x0000_s1026" o:spid="_x0000_s1026" o:spt="20" style="position:absolute;left:0pt;margin-left:0.8pt;margin-top:1.1pt;height:0.9pt;width:452.55pt;z-index:251661312;mso-width-relative:page;mso-height-relative:page;" filled="f" stroked="t" coordsize="21600,21600" o:gfxdata="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77TVLUAAAABQEAAA8AAAAAAAAAAQAgAAAAIgAAAGRycy9kb3ducmV2LnhtbFBLAQIU&#10;ABQAAAAIAIdO4kBcdb1N9wEAAMgDAAAOAAAAAAAAAAEAIAAAACMBAABkcnMvZTJvRG9jLnhtbFBL&#10;BQYAAAAABgAGAFkBAACMBQAAAAA=&#10;">
                <v:fill on="f" focussize="0,0"/>
                <v:stroke weight="1pt" color="#000000 [3200]" miterlimit="8" joinstyle="miter"/>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3175</wp:posOffset>
                </wp:positionH>
                <wp:positionV relativeFrom="paragraph">
                  <wp:posOffset>361315</wp:posOffset>
                </wp:positionV>
                <wp:extent cx="5747385" cy="1143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47385" cy="1143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upright="1"/>
                    </wps:wsp>
                  </a:graphicData>
                </a:graphic>
              </wp:anchor>
            </w:drawing>
          </mc:Choice>
          <mc:Fallback>
            <w:pict>
              <v:line id="_x0000_s1026" o:spid="_x0000_s1026" o:spt="20" style="position:absolute;left:0pt;margin-left:0.25pt;margin-top:28.45pt;height:0.9pt;width:452.55pt;z-index:251660288;mso-width-relative:page;mso-height-relative:page;" filled="f" stroked="t" coordsize="21600,21600" o:gfxdata="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YZqfNcAAAAGAQAADwAAAAAAAAABACAAAAAiAAAAZHJzL2Rvd25yZXYueG1sUEsB&#10;AhQAFAAAAAgAh07iQM+yG4T2AQAAyAMAAA4AAAAAAAAAAQAgAAAAJgEAAGRycy9lMm9Eb2MueG1s&#10;UEsFBgAAAAAGAAYAWQEAAI4FAAAAAA==&#10;">
                <v:fill on="f" focussize="0,0"/>
                <v:stroke weight="1pt" color="#000000 [3200]" miterlimit="8" joinstyle="miter"/>
                <v:imagedata o:title=""/>
                <o:lock v:ext="edit" aspectratio="f"/>
              </v:line>
            </w:pict>
          </mc:Fallback>
        </mc:AlternateContent>
      </w:r>
      <w:r>
        <w:rPr>
          <w:rFonts w:hint="eastAsia"/>
          <w:lang w:val="en-US" w:eastAsia="zh-CN"/>
        </w:rPr>
        <w:t xml:space="preserve">  </w:t>
      </w:r>
      <w:r>
        <w:rPr>
          <w:rFonts w:hint="eastAsia" w:ascii="仿宋_GB2312" w:hAnsi="仿宋" w:eastAsia="仿宋_GB2312" w:cs="仿宋_GB2312"/>
          <w:sz w:val="28"/>
          <w:szCs w:val="28"/>
        </w:rPr>
        <w:t>钦州市农业农村局办公室</w:t>
      </w:r>
      <w:r>
        <w:rPr>
          <w:rFonts w:ascii="仿宋_GB2312" w:hAnsi="仿宋" w:eastAsia="仿宋_GB2312" w:cs="仿宋_GB2312"/>
          <w:sz w:val="28"/>
          <w:szCs w:val="28"/>
        </w:rPr>
        <w:t xml:space="preserve">            </w:t>
      </w:r>
      <w:r>
        <w:rPr>
          <w:rFonts w:hint="eastAsia" w:ascii="仿宋_GB2312" w:hAnsi="仿宋" w:eastAsia="仿宋_GB2312" w:cs="仿宋_GB2312"/>
          <w:sz w:val="28"/>
          <w:szCs w:val="28"/>
          <w:lang w:val="en-US" w:eastAsia="zh-CN"/>
        </w:rPr>
        <w:t xml:space="preserve">           </w:t>
      </w:r>
      <w:r>
        <w:rPr>
          <w:rFonts w:ascii="仿宋_GB2312" w:hAnsi="仿宋" w:eastAsia="仿宋_GB2312" w:cs="仿宋_GB2312"/>
          <w:sz w:val="28"/>
          <w:szCs w:val="28"/>
        </w:rPr>
        <w:t>20</w:t>
      </w:r>
      <w:r>
        <w:rPr>
          <w:rFonts w:hint="eastAsia" w:ascii="仿宋_GB2312" w:hAnsi="仿宋" w:eastAsia="仿宋_GB2312" w:cs="仿宋_GB2312"/>
          <w:sz w:val="28"/>
          <w:szCs w:val="28"/>
          <w:lang w:val="en-US" w:eastAsia="zh-CN"/>
        </w:rPr>
        <w:t>22</w:t>
      </w:r>
      <w:r>
        <w:rPr>
          <w:rFonts w:hint="eastAsia" w:ascii="仿宋_GB2312" w:hAnsi="仿宋" w:eastAsia="仿宋_GB2312" w:cs="仿宋_GB2312"/>
          <w:sz w:val="28"/>
          <w:szCs w:val="28"/>
        </w:rPr>
        <w:t>年</w:t>
      </w:r>
      <w:r>
        <w:rPr>
          <w:rFonts w:hint="eastAsia" w:ascii="仿宋_GB2312" w:hAnsi="仿宋" w:eastAsia="仿宋_GB2312" w:cs="仿宋_GB2312"/>
          <w:sz w:val="28"/>
          <w:szCs w:val="28"/>
          <w:lang w:val="en-US" w:eastAsia="zh-CN"/>
        </w:rPr>
        <w:t>3</w:t>
      </w:r>
      <w:r>
        <w:rPr>
          <w:rFonts w:hint="eastAsia" w:ascii="仿宋_GB2312" w:hAnsi="仿宋" w:eastAsia="仿宋_GB2312" w:cs="仿宋_GB2312"/>
          <w:sz w:val="28"/>
          <w:szCs w:val="28"/>
        </w:rPr>
        <w:t>月</w:t>
      </w:r>
      <w:r>
        <w:rPr>
          <w:rFonts w:hint="eastAsia" w:ascii="仿宋_GB2312" w:hAnsi="仿宋" w:eastAsia="仿宋_GB2312" w:cs="仿宋_GB2312"/>
          <w:sz w:val="28"/>
          <w:szCs w:val="28"/>
          <w:lang w:val="en-US" w:eastAsia="zh-CN"/>
        </w:rPr>
        <w:t>8</w:t>
      </w:r>
      <w:r>
        <w:rPr>
          <w:rFonts w:hint="eastAsia" w:ascii="仿宋_GB2312" w:hAnsi="仿宋" w:eastAsia="仿宋_GB2312" w:cs="仿宋_GB2312"/>
          <w:sz w:val="28"/>
          <w:szCs w:val="28"/>
        </w:rPr>
        <w:t>日印</w:t>
      </w:r>
      <w:r>
        <w:rPr>
          <w:rFonts w:hint="eastAsia" w:ascii="仿宋_GB2312" w:hAnsi="仿宋" w:eastAsia="仿宋_GB2312" w:cs="仿宋_GB2312"/>
          <w:sz w:val="28"/>
          <w:szCs w:val="28"/>
          <w:lang w:eastAsia="zh-CN"/>
        </w:rPr>
        <w:t>发</w:t>
      </w:r>
    </w:p>
    <w:sectPr>
      <w:footerReference r:id="rId4" w:type="default"/>
      <w:pgSz w:w="11906" w:h="16838"/>
      <w:pgMar w:top="2098" w:right="1531" w:bottom="1588"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B4B98"/>
    <w:rsid w:val="00222D0D"/>
    <w:rsid w:val="002551B1"/>
    <w:rsid w:val="002D78E5"/>
    <w:rsid w:val="00321651"/>
    <w:rsid w:val="00383976"/>
    <w:rsid w:val="00400837"/>
    <w:rsid w:val="00592004"/>
    <w:rsid w:val="0063668F"/>
    <w:rsid w:val="00675228"/>
    <w:rsid w:val="00717457"/>
    <w:rsid w:val="0077376C"/>
    <w:rsid w:val="0079265F"/>
    <w:rsid w:val="007E6343"/>
    <w:rsid w:val="00850C05"/>
    <w:rsid w:val="00975E05"/>
    <w:rsid w:val="009A4255"/>
    <w:rsid w:val="009F5303"/>
    <w:rsid w:val="00A71FBE"/>
    <w:rsid w:val="00A8434F"/>
    <w:rsid w:val="00B43B92"/>
    <w:rsid w:val="00B502E7"/>
    <w:rsid w:val="00BC37BE"/>
    <w:rsid w:val="00C14CBC"/>
    <w:rsid w:val="00D3129C"/>
    <w:rsid w:val="00D64633"/>
    <w:rsid w:val="00DD6693"/>
    <w:rsid w:val="00E03FEB"/>
    <w:rsid w:val="00E310F6"/>
    <w:rsid w:val="00E427A1"/>
    <w:rsid w:val="00E50659"/>
    <w:rsid w:val="00FB1E24"/>
    <w:rsid w:val="01001527"/>
    <w:rsid w:val="013B0C19"/>
    <w:rsid w:val="01521760"/>
    <w:rsid w:val="016F3648"/>
    <w:rsid w:val="01CA512E"/>
    <w:rsid w:val="02604536"/>
    <w:rsid w:val="042B4BF4"/>
    <w:rsid w:val="044D3D85"/>
    <w:rsid w:val="04655185"/>
    <w:rsid w:val="050029AF"/>
    <w:rsid w:val="06F519A2"/>
    <w:rsid w:val="077B0B33"/>
    <w:rsid w:val="087B01AD"/>
    <w:rsid w:val="08B0303C"/>
    <w:rsid w:val="08C32AC4"/>
    <w:rsid w:val="09026F15"/>
    <w:rsid w:val="0A06386F"/>
    <w:rsid w:val="0A5D57EC"/>
    <w:rsid w:val="0A7B2343"/>
    <w:rsid w:val="0BA207C9"/>
    <w:rsid w:val="0DB17502"/>
    <w:rsid w:val="0E7C4CAB"/>
    <w:rsid w:val="0FCE52CA"/>
    <w:rsid w:val="10CB232F"/>
    <w:rsid w:val="1157699F"/>
    <w:rsid w:val="119E20D1"/>
    <w:rsid w:val="120D6B0A"/>
    <w:rsid w:val="121962AB"/>
    <w:rsid w:val="136428D7"/>
    <w:rsid w:val="140F446C"/>
    <w:rsid w:val="14212681"/>
    <w:rsid w:val="14A850CC"/>
    <w:rsid w:val="14BD6342"/>
    <w:rsid w:val="14F6625B"/>
    <w:rsid w:val="15B637AE"/>
    <w:rsid w:val="180260C6"/>
    <w:rsid w:val="18BB51EC"/>
    <w:rsid w:val="19B21D24"/>
    <w:rsid w:val="1A0F5EB1"/>
    <w:rsid w:val="1A2352FC"/>
    <w:rsid w:val="1BCC0C26"/>
    <w:rsid w:val="1C250C66"/>
    <w:rsid w:val="1D4D4083"/>
    <w:rsid w:val="1E3700EE"/>
    <w:rsid w:val="231D0746"/>
    <w:rsid w:val="232E3C5D"/>
    <w:rsid w:val="234E2E81"/>
    <w:rsid w:val="23642330"/>
    <w:rsid w:val="25D00CBD"/>
    <w:rsid w:val="273700D2"/>
    <w:rsid w:val="298531E5"/>
    <w:rsid w:val="29A341BB"/>
    <w:rsid w:val="2AEC2788"/>
    <w:rsid w:val="2B886690"/>
    <w:rsid w:val="2C1B466D"/>
    <w:rsid w:val="2C6D1384"/>
    <w:rsid w:val="2D0F269A"/>
    <w:rsid w:val="2E566BED"/>
    <w:rsid w:val="2F6002BF"/>
    <w:rsid w:val="2FA22C94"/>
    <w:rsid w:val="301F1F38"/>
    <w:rsid w:val="30647536"/>
    <w:rsid w:val="30BC3940"/>
    <w:rsid w:val="30D4692A"/>
    <w:rsid w:val="30D55007"/>
    <w:rsid w:val="32B979B7"/>
    <w:rsid w:val="330407D8"/>
    <w:rsid w:val="3502328A"/>
    <w:rsid w:val="35783260"/>
    <w:rsid w:val="360A0B8E"/>
    <w:rsid w:val="367932AA"/>
    <w:rsid w:val="37434218"/>
    <w:rsid w:val="37D144CA"/>
    <w:rsid w:val="38D3120E"/>
    <w:rsid w:val="3A21562D"/>
    <w:rsid w:val="3BE07717"/>
    <w:rsid w:val="3BF74C4B"/>
    <w:rsid w:val="3CCB6876"/>
    <w:rsid w:val="3D0434EC"/>
    <w:rsid w:val="3DBD7099"/>
    <w:rsid w:val="3E2038B8"/>
    <w:rsid w:val="3F914E3C"/>
    <w:rsid w:val="3FBF1F88"/>
    <w:rsid w:val="4099265A"/>
    <w:rsid w:val="41EE38C8"/>
    <w:rsid w:val="42273592"/>
    <w:rsid w:val="445A6EBA"/>
    <w:rsid w:val="464145FB"/>
    <w:rsid w:val="474B21A6"/>
    <w:rsid w:val="491B7B6B"/>
    <w:rsid w:val="4A776EE1"/>
    <w:rsid w:val="4B0F0AAB"/>
    <w:rsid w:val="4B9E241E"/>
    <w:rsid w:val="4E590300"/>
    <w:rsid w:val="4F9B2BA8"/>
    <w:rsid w:val="51A030E0"/>
    <w:rsid w:val="51EC4ABF"/>
    <w:rsid w:val="523D5F47"/>
    <w:rsid w:val="531C707D"/>
    <w:rsid w:val="53B2224B"/>
    <w:rsid w:val="54473CDA"/>
    <w:rsid w:val="551047A3"/>
    <w:rsid w:val="57BC7B89"/>
    <w:rsid w:val="58260583"/>
    <w:rsid w:val="587B7E1F"/>
    <w:rsid w:val="59B56A36"/>
    <w:rsid w:val="5A7D3EBE"/>
    <w:rsid w:val="5ACE2739"/>
    <w:rsid w:val="5B547FFD"/>
    <w:rsid w:val="5C7164A3"/>
    <w:rsid w:val="5C977311"/>
    <w:rsid w:val="5D527A3D"/>
    <w:rsid w:val="5DE75B8E"/>
    <w:rsid w:val="5E865864"/>
    <w:rsid w:val="5F942834"/>
    <w:rsid w:val="5FC074D6"/>
    <w:rsid w:val="605F0903"/>
    <w:rsid w:val="60A361DC"/>
    <w:rsid w:val="61A663EB"/>
    <w:rsid w:val="62534900"/>
    <w:rsid w:val="625870EA"/>
    <w:rsid w:val="63854DA5"/>
    <w:rsid w:val="63DB292E"/>
    <w:rsid w:val="64356C0D"/>
    <w:rsid w:val="654C1A6C"/>
    <w:rsid w:val="65D409D3"/>
    <w:rsid w:val="65EB45D3"/>
    <w:rsid w:val="65F21E21"/>
    <w:rsid w:val="65F47053"/>
    <w:rsid w:val="67335B7C"/>
    <w:rsid w:val="6753450F"/>
    <w:rsid w:val="67E304E0"/>
    <w:rsid w:val="68A84C7D"/>
    <w:rsid w:val="690E29F5"/>
    <w:rsid w:val="694F44E6"/>
    <w:rsid w:val="697D71E5"/>
    <w:rsid w:val="6A45463B"/>
    <w:rsid w:val="6AE76250"/>
    <w:rsid w:val="6B2B7D87"/>
    <w:rsid w:val="6DC20876"/>
    <w:rsid w:val="70515AA4"/>
    <w:rsid w:val="723777AE"/>
    <w:rsid w:val="72E34DD3"/>
    <w:rsid w:val="731958DB"/>
    <w:rsid w:val="74C052E2"/>
    <w:rsid w:val="77352172"/>
    <w:rsid w:val="78D55F2F"/>
    <w:rsid w:val="793B3AC6"/>
    <w:rsid w:val="79533481"/>
    <w:rsid w:val="7A9C165B"/>
    <w:rsid w:val="7D382642"/>
    <w:rsid w:val="7DBB3E3D"/>
    <w:rsid w:val="7EDE61C1"/>
    <w:rsid w:val="7EEA0162"/>
    <w:rsid w:val="7FF25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kern w:val="0"/>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Default"/>
    <w:qFormat/>
    <w:uiPriority w:val="0"/>
    <w:pPr>
      <w:widowControl w:val="0"/>
      <w:autoSpaceDE w:val="0"/>
      <w:autoSpaceDN w:val="0"/>
      <w:adjustRightInd w:val="0"/>
    </w:pPr>
    <w:rPr>
      <w:rFonts w:ascii="方正仿宋_GBK" w:hAnsi="方正仿宋_GBK" w:eastAsia="方正仿宋_GBK"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Pages>
  <Words>5620</Words>
  <Characters>365</Characters>
  <Lines>3</Lines>
  <Paragraphs>11</Paragraphs>
  <TotalTime>34</TotalTime>
  <ScaleCrop>false</ScaleCrop>
  <LinksUpToDate>false</LinksUpToDate>
  <CharactersWithSpaces>5974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2022-02-26T02:47:00Z</dcterms:created>
  <dc:creator>Administrator</dc:creator>
  <cp:lastModifiedBy>Administrator</cp:lastModifiedBy>
  <cp:lastPrinted>2022-03-30T08:07:53Z</cp:lastPrinted>
  <dcterms:modified xsi:type="dcterms:W3CDTF">2022-03-30T08:47:31Z</dcterms:modified>
  <dc:title>钦州市农业农村局关于全面推进四轮驱动战略“美乡村”专项行动的实施意见</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