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6"/>
        <w:widowControl/>
        <w:spacing w:line="600" w:lineRule="exact"/>
        <w:ind w:left="0"/>
        <w:rPr>
          <w:rFonts w:ascii="黑体" w:eastAsia="黑体" w:hint="eastAsia"/>
          <w:b w:val="0"/>
          <w:bCs w:val="0"/>
          <w:sz w:val="32"/>
          <w:szCs w:val="32"/>
          <w:lang w:eastAsia="zh-CN"/>
        </w:rPr>
      </w:pPr>
      <w:bookmarkStart w:id="0" w:name="_Toc50314594"/>
      <w:bookmarkStart w:id="1" w:name="_Toc50727802"/>
      <w:r>
        <w:rPr>
          <w:rFonts w:ascii="黑体" w:eastAsia="黑体" w:hint="eastAsia"/>
          <w:b w:val="0"/>
          <w:bCs w:val="0"/>
          <w:sz w:val="32"/>
          <w:szCs w:val="32"/>
          <w:lang w:eastAsia="zh-CN"/>
        </w:rPr>
        <w:t>附件2</w:t>
      </w:r>
    </w:p>
    <w:p>
      <w:pPr>
        <w:pStyle w:val="16"/>
        <w:widowControl/>
        <w:spacing w:line="600" w:lineRule="exact"/>
        <w:ind w:left="0"/>
        <w:rPr>
          <w:rFonts w:ascii="方正小标宋简体" w:eastAsia="方正小标宋简体"/>
          <w:b w:val="0"/>
          <w:bCs w:val="0"/>
          <w:sz w:val="44"/>
          <w:szCs w:val="44"/>
          <w:lang w:eastAsia="zh-CN"/>
        </w:rPr>
      </w:pPr>
      <w:bookmarkStart w:id="2" w:name="_GoBack"/>
      <w:bookmarkEnd w:id="2"/>
    </w:p>
    <w:p>
      <w:pPr>
        <w:pStyle w:val="16"/>
        <w:widowControl/>
        <w:spacing w:line="600" w:lineRule="exact"/>
        <w:ind w:firstLineChars="200" w:firstLine="880"/>
        <w:rPr>
          <w:rFonts w:ascii="方正小标宋简体" w:eastAsia="方正小标宋简体" w:hint="eastAsia"/>
          <w:b w:val="0"/>
          <w:bCs w:val="0"/>
          <w:sz w:val="44"/>
          <w:szCs w:val="44"/>
        </w:rPr>
      </w:pPr>
      <w:r>
        <w:rPr>
          <w:rFonts w:ascii="方正小标宋简体" w:eastAsia="方正小标宋简体" w:hint="eastAsia"/>
          <w:b w:val="0"/>
          <w:bCs w:val="0"/>
          <w:sz w:val="44"/>
          <w:szCs w:val="44"/>
          <w:lang w:eastAsia="zh-CN"/>
        </w:rPr>
        <w:t>中南区</w:t>
      </w:r>
      <w:r>
        <w:rPr>
          <w:rFonts w:ascii="方正小标宋简体" w:eastAsia="方正小标宋简体" w:hint="eastAsia"/>
          <w:b w:val="0"/>
          <w:bCs w:val="0"/>
          <w:sz w:val="44"/>
          <w:szCs w:val="44"/>
        </w:rPr>
        <w:t>动物及动物产品指定通道检查站</w:t>
      </w:r>
      <w:bookmarkEnd w:id="0"/>
    </w:p>
    <w:p>
      <w:pPr>
        <w:pStyle w:val="17"/>
        <w:spacing w:before="0" w:after="0" w:line="600" w:lineRule="exact"/>
        <w:rPr>
          <w:rFonts w:ascii="方正小标宋简体" w:eastAsia="方正小标宋简体" w:hint="eastAsia"/>
          <w:b w:val="0"/>
          <w:bCs w:val="0"/>
          <w:sz w:val="44"/>
          <w:szCs w:val="44"/>
        </w:rPr>
      </w:pPr>
      <w:bookmarkStart w:id="3" w:name="_Toc53126105"/>
      <w:bookmarkStart w:id="4" w:name="_Toc53404607"/>
      <w:bookmarkStart w:id="5" w:name="_Toc53494764"/>
      <w:bookmarkStart w:id="6" w:name="_Toc50314595"/>
      <w:r>
        <w:rPr>
          <w:rFonts w:ascii="方正小标宋简体" w:eastAsia="方正小标宋简体" w:hint="eastAsia"/>
          <w:b w:val="0"/>
          <w:bCs w:val="0"/>
          <w:sz w:val="44"/>
          <w:szCs w:val="44"/>
        </w:rPr>
        <w:t>规范化建设指引</w:t>
      </w:r>
      <w:bookmarkEnd w:id="1"/>
      <w:bookmarkEnd w:id="3"/>
      <w:bookmarkEnd w:id="4"/>
      <w:bookmarkEnd w:id="5"/>
      <w:bookmarkEnd w:id="6"/>
    </w:p>
    <w:p>
      <w:pPr>
        <w:spacing w:line="600" w:lineRule="exact"/>
        <w:jc w:val="center"/>
        <w:rPr>
          <w:rFonts w:ascii="楷体_GB2312" w:eastAsia="楷体_GB2312" w:hint="eastAsia"/>
          <w:b/>
          <w:bCs/>
          <w:color w:val="000000"/>
          <w:sz w:val="32"/>
          <w:szCs w:val="32"/>
          <w:shd w:val="clear" w:color="auto" w:fill="auto"/>
        </w:rPr>
      </w:pPr>
      <w:r>
        <w:rPr>
          <w:rFonts w:ascii="楷体_GB2312" w:eastAsia="楷体_GB2312" w:hint="eastAsia"/>
          <w:b/>
          <w:bCs/>
          <w:color w:val="000000"/>
          <w:sz w:val="32"/>
          <w:szCs w:val="32"/>
          <w:shd w:val="clear" w:color="auto" w:fill="auto"/>
        </w:rPr>
        <w:t>（试</w:t>
      </w:r>
      <w:r>
        <w:rPr>
          <w:rFonts w:ascii="楷体_GB2312" w:eastAsia="楷体_GB2312"/>
          <w:b/>
          <w:bCs/>
          <w:color w:val="000000"/>
          <w:sz w:val="32"/>
          <w:szCs w:val="32"/>
          <w:shd w:val="clear" w:color="auto" w:fill="auto"/>
        </w:rPr>
        <w:t xml:space="preserve"> </w:t>
      </w:r>
      <w:r>
        <w:rPr>
          <w:rFonts w:ascii="楷体_GB2312" w:eastAsia="楷体_GB2312" w:hint="eastAsia"/>
          <w:b/>
          <w:bCs/>
          <w:color w:val="000000"/>
          <w:sz w:val="32"/>
          <w:szCs w:val="32"/>
          <w:shd w:val="clear" w:color="auto" w:fill="auto"/>
        </w:rPr>
        <w:t>行）</w:t>
      </w:r>
    </w:p>
    <w:p>
      <w:pPr>
        <w:spacing w:line="600" w:lineRule="exact"/>
        <w:jc w:val="center"/>
        <w:rPr>
          <w:rFonts w:ascii="楷体_GB2312" w:eastAsia="楷体_GB2312" w:hint="eastAsia"/>
          <w:sz w:val="44"/>
          <w:szCs w:val="44"/>
        </w:rPr>
      </w:pPr>
    </w:p>
    <w:p>
      <w:pPr>
        <w:numPr>
          <w:ilvl w:val="0"/>
          <w:numId w:val="1"/>
        </w:numPr>
        <w:snapToGrid w:val="0"/>
        <w:spacing w:line="600" w:lineRule="exact"/>
        <w:ind w:left="0" w:firstLineChars="200" w:firstLine="640"/>
        <w:rPr>
          <w:rFonts w:ascii="仿宋_GB2312" w:eastAsia="仿宋_GB2312" w:hint="eastAsia"/>
          <w:sz w:val="32"/>
          <w:szCs w:val="32"/>
        </w:rPr>
      </w:pPr>
      <w:r>
        <w:rPr>
          <w:rFonts w:ascii="仿宋_GB2312" w:eastAsia="仿宋_GB2312"/>
          <w:sz w:val="32"/>
          <w:szCs w:val="32"/>
        </w:rPr>
        <w:t xml:space="preserve"> </w:t>
      </w:r>
      <w:r>
        <w:rPr>
          <w:rFonts w:ascii="仿宋_GB2312" w:eastAsia="仿宋_GB2312" w:hint="eastAsia"/>
          <w:sz w:val="32"/>
          <w:szCs w:val="32"/>
        </w:rPr>
        <w:t>为加强</w:t>
      </w:r>
      <w:r>
        <w:rPr>
          <w:rFonts w:ascii="仿宋_GB2312" w:eastAsia="仿宋_GB2312" w:hint="eastAsia"/>
          <w:sz w:val="32"/>
          <w:szCs w:val="32"/>
          <w:lang w:eastAsia="zh-CN"/>
        </w:rPr>
        <w:t>中南区</w:t>
      </w:r>
      <w:r>
        <w:rPr>
          <w:rFonts w:ascii="仿宋_GB2312" w:eastAsia="仿宋_GB2312" w:hint="eastAsia"/>
          <w:sz w:val="32"/>
          <w:szCs w:val="32"/>
        </w:rPr>
        <w:t>动物及动物产品指定通道检查站的建设和管理，构建高效运行、互为补充、相互策应的立体化监管网络，有效打击跨区域、跨省违法违规调运动物及动物产品行为，切断动物疫病传播途径，制定本指引。</w:t>
      </w:r>
    </w:p>
    <w:p>
      <w:pPr>
        <w:numPr>
          <w:ilvl w:val="0"/>
          <w:numId w:val="1"/>
        </w:numPr>
        <w:snapToGrid w:val="0"/>
        <w:spacing w:line="600" w:lineRule="exact"/>
        <w:ind w:left="0" w:firstLineChars="200" w:firstLine="640"/>
        <w:rPr>
          <w:rFonts w:ascii="仿宋_GB2312" w:eastAsia="仿宋_GB2312" w:hint="eastAsia"/>
          <w:sz w:val="32"/>
          <w:szCs w:val="32"/>
        </w:rPr>
      </w:pPr>
      <w:r>
        <w:rPr>
          <w:rFonts w:ascii="仿宋_GB2312" w:eastAsia="仿宋_GB2312"/>
          <w:sz w:val="32"/>
          <w:szCs w:val="32"/>
          <w:lang w:eastAsia="zh-CN"/>
        </w:rPr>
        <w:t xml:space="preserve"> </w:t>
      </w:r>
      <w:r>
        <w:rPr>
          <w:rFonts w:ascii="仿宋_GB2312" w:eastAsia="仿宋_GB2312" w:hint="eastAsia"/>
          <w:sz w:val="32"/>
          <w:szCs w:val="32"/>
          <w:lang w:eastAsia="zh-CN"/>
        </w:rPr>
        <w:t>中南区</w:t>
      </w:r>
      <w:r>
        <w:rPr>
          <w:rFonts w:ascii="仿宋_GB2312" w:eastAsia="仿宋_GB2312" w:hint="eastAsia"/>
          <w:sz w:val="32"/>
          <w:szCs w:val="32"/>
        </w:rPr>
        <w:t>动物及动物产品指定通道检查站（以下简称“指定通道检查站”）是指经区域重大动物疫病分区防控联席会议办公室（以下简称“联席会议办公室”）与区域内各省级农业农村部门协商确定的，位于区内省际间的动物及动物产品指定通道检查站。</w:t>
      </w:r>
    </w:p>
    <w:p>
      <w:pPr>
        <w:numPr>
          <w:ilvl w:val="0"/>
          <w:numId w:val="1"/>
        </w:numPr>
        <w:snapToGrid w:val="0"/>
        <w:spacing w:line="600" w:lineRule="exact"/>
        <w:ind w:left="0" w:firstLineChars="200" w:firstLine="640"/>
        <w:rPr>
          <w:rFonts w:ascii="仿宋_GB2312" w:eastAsia="仿宋_GB2312" w:hint="eastAsia"/>
          <w:sz w:val="32"/>
          <w:szCs w:val="32"/>
        </w:rPr>
      </w:pPr>
      <w:r>
        <w:rPr>
          <w:rFonts w:ascii="仿宋_GB2312" w:eastAsia="仿宋_GB2312"/>
          <w:sz w:val="32"/>
          <w:szCs w:val="32"/>
        </w:rPr>
        <w:t xml:space="preserve"> </w:t>
      </w:r>
      <w:r>
        <w:rPr>
          <w:rFonts w:ascii="仿宋_GB2312" w:eastAsia="仿宋_GB2312" w:hint="eastAsia"/>
          <w:sz w:val="32"/>
          <w:szCs w:val="32"/>
        </w:rPr>
        <w:t>指定通道检查站的设置应当坚持“政府主导、部门联动、共建共享、协同推进”的原则，统筹考虑区域重点路网干线布局、现有指定通道资源、动物及动物产品运输车辆流通情况和实际监管能力等因素，科学布设检查站点。</w:t>
      </w:r>
    </w:p>
    <w:p>
      <w:pPr>
        <w:numPr>
          <w:ilvl w:val="0"/>
          <w:numId w:val="1"/>
        </w:numPr>
        <w:snapToGrid w:val="0"/>
        <w:spacing w:line="600" w:lineRule="exact"/>
        <w:ind w:left="0" w:firstLineChars="200" w:firstLine="640"/>
        <w:rPr>
          <w:rFonts w:ascii="仿宋_GB2312" w:eastAsia="仿宋_GB2312" w:cs="宋体" w:hint="eastAsia"/>
          <w:sz w:val="32"/>
          <w:szCs w:val="32"/>
          <w:lang w:bidi="ar-SA"/>
        </w:rPr>
      </w:pPr>
      <w:r>
        <w:rPr>
          <w:rFonts w:ascii="仿宋_GB2312" w:eastAsia="仿宋_GB2312"/>
          <w:sz w:val="32"/>
          <w:szCs w:val="32"/>
        </w:rPr>
        <w:t xml:space="preserve"> </w:t>
      </w:r>
      <w:r>
        <w:rPr>
          <w:rFonts w:ascii="仿宋_GB2312" w:eastAsia="仿宋_GB2312" w:hint="eastAsia"/>
          <w:sz w:val="32"/>
          <w:szCs w:val="32"/>
        </w:rPr>
        <w:t>中南区鼓励和支持相邻省份农业农村部门积极探索联合执法、资源共享的工作模式，逐步优化调整省际间指定通道规划布局。</w:t>
      </w:r>
      <w:r>
        <w:rPr>
          <w:rFonts w:ascii="仿宋_GB2312" w:eastAsia="仿宋_GB2312" w:cs="宋体" w:hint="eastAsia"/>
          <w:sz w:val="32"/>
          <w:szCs w:val="32"/>
          <w:lang w:bidi="ar-SA"/>
        </w:rPr>
        <w:t>一是在区域发生重大动物疫情，需要设立临时检查站时，中南区内各省之间设立的检查站尽可能设在同一条国道（或高速、省道）上，鼓励联合建站、联合检查。二是中南区与区外接壤省设立的检查站要建立联防联动机制，做到信息互通，密切协作，同时收集报告区外疫情防控形势和状况。三是落实指定通道制度，加大宣传力度，强化落地监管，督促动物及其产品运输车辆走指定通道。</w:t>
      </w:r>
    </w:p>
    <w:p>
      <w:pPr>
        <w:numPr>
          <w:ilvl w:val="0"/>
          <w:numId w:val="1"/>
        </w:numPr>
        <w:snapToGrid w:val="0"/>
        <w:spacing w:line="600" w:lineRule="exact"/>
        <w:ind w:left="0" w:firstLineChars="200" w:firstLine="640"/>
        <w:rPr>
          <w:rFonts w:ascii="仿宋_GB2312" w:eastAsia="仿宋_GB2312" w:hint="eastAsia"/>
          <w:sz w:val="32"/>
          <w:szCs w:val="32"/>
        </w:rPr>
      </w:pPr>
      <w:r>
        <w:rPr>
          <w:rFonts w:ascii="仿宋_GB2312" w:eastAsia="仿宋_GB2312"/>
          <w:sz w:val="32"/>
          <w:szCs w:val="32"/>
        </w:rPr>
        <w:t xml:space="preserve"> </w:t>
      </w:r>
      <w:r>
        <w:rPr>
          <w:rFonts w:ascii="仿宋_GB2312" w:eastAsia="仿宋_GB2312" w:hint="eastAsia"/>
          <w:sz w:val="32"/>
          <w:szCs w:val="32"/>
        </w:rPr>
        <w:t>区域内各级农业农村部门应加强与本级交通运输、公安等部门协作沟通，建立动物及动物产品调运协作监管长效机制。</w:t>
      </w:r>
    </w:p>
    <w:p>
      <w:pPr>
        <w:numPr>
          <w:ilvl w:val="0"/>
          <w:numId w:val="1"/>
        </w:numPr>
        <w:snapToGrid w:val="0"/>
        <w:spacing w:line="600" w:lineRule="exact"/>
        <w:ind w:left="0" w:firstLineChars="200" w:firstLine="640"/>
        <w:rPr>
          <w:rFonts w:ascii="仿宋_GB2312" w:eastAsia="仿宋_GB2312" w:hint="eastAsia"/>
          <w:sz w:val="32"/>
          <w:szCs w:val="32"/>
        </w:rPr>
      </w:pPr>
      <w:r>
        <w:rPr>
          <w:rFonts w:ascii="仿宋_GB2312" w:eastAsia="仿宋_GB2312"/>
          <w:sz w:val="32"/>
          <w:szCs w:val="32"/>
        </w:rPr>
        <w:t xml:space="preserve"> </w:t>
      </w:r>
      <w:r>
        <w:rPr>
          <w:rFonts w:ascii="仿宋_GB2312" w:eastAsia="仿宋_GB2312" w:hint="eastAsia"/>
          <w:sz w:val="32"/>
          <w:szCs w:val="32"/>
        </w:rPr>
        <w:t>中南区各省（区、市）应加大对指定通道检查站的财政支持和投入力度，给予必要的工作人员、检查装备和工作经费等条件保障，确保指定通道检查站高效运行。</w:t>
      </w:r>
    </w:p>
    <w:p>
      <w:pPr>
        <w:numPr>
          <w:ilvl w:val="0"/>
          <w:numId w:val="1"/>
        </w:numPr>
        <w:snapToGrid w:val="0"/>
        <w:spacing w:line="600" w:lineRule="exact"/>
        <w:ind w:left="0" w:firstLineChars="200" w:firstLine="640"/>
        <w:rPr>
          <w:rFonts w:ascii="仿宋_GB2312" w:eastAsia="仿宋_GB2312" w:hint="eastAsia"/>
          <w:sz w:val="32"/>
          <w:szCs w:val="32"/>
        </w:rPr>
      </w:pPr>
      <w:r>
        <w:rPr>
          <w:rFonts w:ascii="仿宋_GB2312" w:eastAsia="仿宋_GB2312"/>
          <w:sz w:val="32"/>
          <w:szCs w:val="32"/>
        </w:rPr>
        <w:t xml:space="preserve"> </w:t>
      </w:r>
      <w:r>
        <w:rPr>
          <w:rFonts w:ascii="仿宋_GB2312" w:eastAsia="仿宋_GB2312" w:hint="eastAsia"/>
          <w:sz w:val="32"/>
          <w:szCs w:val="32"/>
        </w:rPr>
        <w:t>中南区统筹推进指定通道检查站信息平台建设，促进区域内养殖、运输和屠宰等环节相关信息数据深度融合和综合利用。</w:t>
      </w:r>
    </w:p>
    <w:p>
      <w:pPr>
        <w:numPr>
          <w:ilvl w:val="0"/>
          <w:numId w:val="1"/>
        </w:numPr>
        <w:snapToGrid w:val="0"/>
        <w:spacing w:line="600" w:lineRule="exact"/>
        <w:ind w:left="0" w:firstLineChars="200" w:firstLine="640"/>
        <w:rPr>
          <w:rFonts w:ascii="仿宋_GB2312" w:eastAsia="仿宋_GB2312" w:hint="eastAsia"/>
          <w:sz w:val="32"/>
          <w:szCs w:val="32"/>
        </w:rPr>
      </w:pPr>
      <w:r>
        <w:rPr>
          <w:rFonts w:ascii="仿宋_GB2312" w:eastAsia="仿宋_GB2312"/>
          <w:sz w:val="32"/>
          <w:szCs w:val="32"/>
        </w:rPr>
        <w:t xml:space="preserve"> </w:t>
      </w:r>
      <w:r>
        <w:rPr>
          <w:rFonts w:ascii="仿宋_GB2312" w:eastAsia="仿宋_GB2312" w:hint="eastAsia"/>
          <w:sz w:val="32"/>
          <w:szCs w:val="32"/>
        </w:rPr>
        <w:t>指定通道检查站应设立明显的提示标志，引导动物及动物产品运输车辆驶入接受监督检查。提示标志前置距离按照《城市道路交通标志和标线设置规范 GB51038-2015》有关规定执行。</w:t>
      </w:r>
    </w:p>
    <w:p>
      <w:pPr>
        <w:tabs>
          <w:tab w:val="left" w:pos="-1275"/>
        </w:tabs>
        <w:snapToGrid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指定通道检查站</w:t>
      </w:r>
      <w:r>
        <w:rPr>
          <w:rFonts w:ascii="仿宋_GB2312" w:eastAsia="仿宋_GB2312" w:hint="eastAsia"/>
          <w:bCs/>
          <w:sz w:val="32"/>
          <w:szCs w:val="32"/>
        </w:rPr>
        <w:t>名称统一为“中南区***省（区）***</w:t>
      </w:r>
      <w:r>
        <w:rPr>
          <w:rFonts w:ascii="仿宋_GB2312" w:eastAsia="仿宋_GB2312" w:hint="eastAsia"/>
          <w:sz w:val="32"/>
          <w:szCs w:val="32"/>
        </w:rPr>
        <w:t>动物及动物产品</w:t>
      </w:r>
      <w:r>
        <w:rPr>
          <w:rFonts w:ascii="仿宋_GB2312" w:eastAsia="仿宋_GB2312" w:hint="eastAsia"/>
          <w:bCs/>
          <w:sz w:val="32"/>
          <w:szCs w:val="32"/>
        </w:rPr>
        <w:t>指定通道检查站”。</w:t>
      </w:r>
    </w:p>
    <w:p>
      <w:pPr>
        <w:numPr>
          <w:ilvl w:val="0"/>
          <w:numId w:val="1"/>
        </w:numPr>
        <w:snapToGrid w:val="0"/>
        <w:spacing w:line="600" w:lineRule="exact"/>
        <w:ind w:left="0" w:firstLineChars="200" w:firstLine="640"/>
        <w:rPr>
          <w:rFonts w:ascii="仿宋_GB2312" w:eastAsia="仿宋_GB2312" w:hint="eastAsia"/>
          <w:sz w:val="32"/>
          <w:szCs w:val="32"/>
        </w:rPr>
      </w:pPr>
      <w:r>
        <w:rPr>
          <w:rFonts w:ascii="仿宋_GB2312" w:eastAsia="仿宋_GB2312"/>
          <w:sz w:val="32"/>
          <w:szCs w:val="32"/>
        </w:rPr>
        <w:t xml:space="preserve"> </w:t>
      </w:r>
      <w:r>
        <w:rPr>
          <w:rFonts w:ascii="仿宋_GB2312" w:eastAsia="仿宋_GB2312" w:hint="eastAsia"/>
          <w:sz w:val="32"/>
          <w:szCs w:val="32"/>
        </w:rPr>
        <w:t>指定通道检查站应在醒目位置公示设站依据、所属区域、主管机关、监督依据、工作职责、检查程序、工作人员、工作纪律和监督电话等信息，提供与动物及动物产品检疫等业务工作相关的办事指南，配备必要的便民服务设施。</w:t>
      </w:r>
    </w:p>
    <w:p>
      <w:pPr>
        <w:numPr>
          <w:ilvl w:val="0"/>
          <w:numId w:val="1"/>
        </w:numPr>
        <w:snapToGrid w:val="0"/>
        <w:spacing w:line="600" w:lineRule="exact"/>
        <w:ind w:left="0" w:firstLineChars="200" w:firstLine="640"/>
        <w:rPr>
          <w:rFonts w:ascii="仿宋_GB2312" w:eastAsia="仿宋_GB2312" w:hint="eastAsia"/>
          <w:sz w:val="32"/>
          <w:szCs w:val="32"/>
        </w:rPr>
      </w:pPr>
      <w:r>
        <w:rPr>
          <w:rFonts w:ascii="仿宋_GB2312" w:eastAsia="仿宋_GB2312"/>
          <w:sz w:val="32"/>
          <w:szCs w:val="32"/>
        </w:rPr>
        <w:t xml:space="preserve"> </w:t>
      </w:r>
      <w:r>
        <w:rPr>
          <w:rFonts w:ascii="仿宋_GB2312" w:eastAsia="仿宋_GB2312" w:hint="eastAsia"/>
          <w:sz w:val="32"/>
          <w:szCs w:val="32"/>
        </w:rPr>
        <w:t>指定通道检查站应建设与监督检查工作相适应的查验申报场所、消毒通道（或消毒区域）、停车场和休息室等设施。条件允许的，应在相关区域安装视频监控系统。</w:t>
      </w:r>
    </w:p>
    <w:p>
      <w:pPr>
        <w:numPr>
          <w:ilvl w:val="0"/>
          <w:numId w:val="1"/>
        </w:numPr>
        <w:snapToGrid w:val="0"/>
        <w:spacing w:line="600" w:lineRule="exact"/>
        <w:ind w:left="0" w:firstLineChars="200" w:firstLine="640"/>
        <w:rPr>
          <w:rFonts w:ascii="仿宋_GB2312" w:eastAsia="仿宋_GB2312" w:hint="eastAsia"/>
          <w:sz w:val="32"/>
          <w:szCs w:val="32"/>
        </w:rPr>
      </w:pPr>
      <w:r>
        <w:rPr>
          <w:rFonts w:ascii="仿宋_GB2312" w:eastAsia="仿宋_GB2312"/>
          <w:sz w:val="32"/>
          <w:szCs w:val="32"/>
        </w:rPr>
        <w:t xml:space="preserve"> </w:t>
      </w:r>
      <w:r>
        <w:rPr>
          <w:rFonts w:ascii="仿宋_GB2312" w:eastAsia="仿宋_GB2312" w:hint="eastAsia"/>
          <w:sz w:val="32"/>
          <w:szCs w:val="32"/>
        </w:rPr>
        <w:t>指定通道检查站应配备工作相适应的办公、监督检查和应急等设备物资以及必要的安全防护器具。</w:t>
      </w:r>
    </w:p>
    <w:p>
      <w:pPr>
        <w:pStyle w:val="18"/>
        <w:numPr>
          <w:ilvl w:val="0"/>
          <w:numId w:val="2"/>
        </w:numPr>
        <w:tabs>
          <w:tab w:val="clear" w:pos="0"/>
          <w:tab w:val="left" w:pos="-1985"/>
          <w:tab w:val="left" w:pos="-1275"/>
          <w:tab w:val="left" w:pos="0"/>
        </w:tabs>
        <w:snapToGrid w:val="0"/>
        <w:spacing w:line="600" w:lineRule="exact"/>
        <w:ind w:left="0" w:firstLineChars="200" w:firstLine="640"/>
        <w:rPr>
          <w:rFonts w:ascii="仿宋_GB2312" w:eastAsia="仿宋_GB2312" w:hint="eastAsia"/>
          <w:sz w:val="32"/>
          <w:szCs w:val="32"/>
        </w:rPr>
      </w:pPr>
      <w:r>
        <w:rPr>
          <w:rFonts w:ascii="仿宋_GB2312" w:eastAsia="仿宋_GB2312" w:hint="eastAsia"/>
          <w:bCs/>
          <w:sz w:val="32"/>
          <w:szCs w:val="32"/>
        </w:rPr>
        <w:t>办公桌椅、资料档案柜、</w:t>
      </w:r>
      <w:r>
        <w:rPr>
          <w:rFonts w:ascii="仿宋_GB2312" w:eastAsia="仿宋_GB2312" w:hint="eastAsia"/>
          <w:sz w:val="32"/>
          <w:szCs w:val="32"/>
        </w:rPr>
        <w:t>电脑、打印机、照相机等办公设备。</w:t>
      </w:r>
    </w:p>
    <w:p>
      <w:pPr>
        <w:pStyle w:val="18"/>
        <w:numPr>
          <w:ilvl w:val="0"/>
          <w:numId w:val="2"/>
        </w:numPr>
        <w:tabs>
          <w:tab w:val="clear" w:pos="0"/>
          <w:tab w:val="left" w:pos="-1985"/>
          <w:tab w:val="left" w:pos="-1275"/>
          <w:tab w:val="left" w:pos="0"/>
        </w:tabs>
        <w:snapToGrid w:val="0"/>
        <w:spacing w:line="600" w:lineRule="exact"/>
        <w:ind w:left="0" w:firstLineChars="200" w:firstLine="640"/>
        <w:rPr>
          <w:rFonts w:ascii="仿宋_GB2312" w:eastAsia="仿宋_GB2312" w:hint="eastAsia"/>
          <w:bCs/>
          <w:sz w:val="32"/>
          <w:szCs w:val="32"/>
        </w:rPr>
      </w:pPr>
      <w:r>
        <w:rPr>
          <w:rFonts w:ascii="仿宋_GB2312" w:eastAsia="仿宋_GB2312" w:hint="eastAsia"/>
          <w:bCs/>
          <w:sz w:val="32"/>
          <w:szCs w:val="32"/>
        </w:rPr>
        <w:t>应急手电筒、应急电源等应急设备。</w:t>
      </w:r>
    </w:p>
    <w:p>
      <w:pPr>
        <w:pStyle w:val="18"/>
        <w:numPr>
          <w:ilvl w:val="0"/>
          <w:numId w:val="2"/>
        </w:numPr>
        <w:tabs>
          <w:tab w:val="clear" w:pos="0"/>
          <w:tab w:val="left" w:pos="-1985"/>
          <w:tab w:val="left" w:pos="-1275"/>
          <w:tab w:val="left" w:pos="0"/>
        </w:tabs>
        <w:snapToGrid w:val="0"/>
        <w:spacing w:line="600" w:lineRule="exact"/>
        <w:ind w:left="0" w:firstLineChars="200" w:firstLine="640"/>
        <w:rPr>
          <w:rFonts w:ascii="仿宋_GB2312" w:eastAsia="仿宋_GB2312" w:hint="eastAsia"/>
          <w:bCs/>
          <w:sz w:val="32"/>
          <w:szCs w:val="32"/>
        </w:rPr>
      </w:pPr>
      <w:r>
        <w:rPr>
          <w:rFonts w:ascii="仿宋_GB2312" w:eastAsia="仿宋_GB2312" w:hint="eastAsia"/>
          <w:sz w:val="32"/>
          <w:szCs w:val="32"/>
        </w:rPr>
        <w:t>执法记录仪、动物耳温枪、采样箱、冰箱（冰柜）等监督检查设备。</w:t>
      </w:r>
    </w:p>
    <w:p>
      <w:pPr>
        <w:pStyle w:val="18"/>
        <w:numPr>
          <w:ilvl w:val="0"/>
          <w:numId w:val="2"/>
        </w:numPr>
        <w:tabs>
          <w:tab w:val="clear" w:pos="0"/>
          <w:tab w:val="left" w:pos="-1985"/>
          <w:tab w:val="left" w:pos="-1275"/>
          <w:tab w:val="left" w:pos="0"/>
        </w:tabs>
        <w:snapToGrid w:val="0"/>
        <w:spacing w:line="600" w:lineRule="exact"/>
        <w:ind w:left="0" w:firstLineChars="200" w:firstLine="640"/>
        <w:rPr>
          <w:rFonts w:ascii="仿宋_GB2312" w:eastAsia="仿宋_GB2312" w:hint="eastAsia"/>
          <w:bCs/>
          <w:sz w:val="32"/>
          <w:szCs w:val="32"/>
        </w:rPr>
      </w:pPr>
      <w:r>
        <w:rPr>
          <w:rFonts w:ascii="仿宋_GB2312" w:eastAsia="仿宋_GB2312" w:hint="eastAsia"/>
          <w:sz w:val="32"/>
          <w:szCs w:val="32"/>
        </w:rPr>
        <w:t>防护服、反光背心、停车牌、口罩和手套等安全防护器具。</w:t>
      </w:r>
    </w:p>
    <w:p>
      <w:pPr>
        <w:numPr>
          <w:ilvl w:val="0"/>
          <w:numId w:val="1"/>
        </w:numPr>
        <w:snapToGrid w:val="0"/>
        <w:spacing w:line="600" w:lineRule="exact"/>
        <w:ind w:left="0" w:firstLineChars="200" w:firstLine="640"/>
        <w:rPr>
          <w:rFonts w:ascii="仿宋_GB2312" w:eastAsia="仿宋_GB2312" w:hint="eastAsia"/>
          <w:sz w:val="32"/>
          <w:szCs w:val="32"/>
        </w:rPr>
      </w:pPr>
      <w:r>
        <w:rPr>
          <w:rFonts w:ascii="仿宋_GB2312" w:eastAsia="仿宋_GB2312"/>
          <w:sz w:val="32"/>
          <w:szCs w:val="32"/>
        </w:rPr>
        <w:t xml:space="preserve"> </w:t>
      </w:r>
      <w:r>
        <w:rPr>
          <w:rFonts w:ascii="仿宋_GB2312" w:eastAsia="仿宋_GB2312" w:hint="eastAsia"/>
          <w:sz w:val="32"/>
          <w:szCs w:val="32"/>
        </w:rPr>
        <w:t>指定通道检查站应配备与监督检查工作量相适应的工作人员。实行24小时工作制度，每班工作人员不少于2人。</w:t>
      </w:r>
    </w:p>
    <w:p>
      <w:pPr>
        <w:numPr>
          <w:ilvl w:val="0"/>
          <w:numId w:val="1"/>
        </w:numPr>
        <w:snapToGrid w:val="0"/>
        <w:spacing w:line="600" w:lineRule="exact"/>
        <w:ind w:left="0" w:firstLineChars="200" w:firstLine="640"/>
        <w:rPr>
          <w:rFonts w:ascii="仿宋_GB2312" w:eastAsia="仿宋_GB2312" w:hint="eastAsia"/>
          <w:sz w:val="32"/>
          <w:szCs w:val="32"/>
        </w:rPr>
      </w:pPr>
      <w:r>
        <w:rPr>
          <w:rFonts w:ascii="仿宋_GB2312" w:eastAsia="仿宋_GB2312"/>
          <w:sz w:val="32"/>
          <w:szCs w:val="32"/>
        </w:rPr>
        <w:t xml:space="preserve"> </w:t>
      </w:r>
      <w:r>
        <w:rPr>
          <w:rFonts w:ascii="仿宋_GB2312" w:eastAsia="仿宋_GB2312" w:hint="eastAsia"/>
          <w:sz w:val="32"/>
          <w:szCs w:val="32"/>
        </w:rPr>
        <w:t>工作人员应登录区域统一的信息平台，按照以下程序对运输车辆、运输的动物及动物产品和承运人等相关信息进行查验、实施监督检查。</w:t>
      </w:r>
    </w:p>
    <w:p>
      <w:pPr>
        <w:numPr>
          <w:ilvl w:val="0"/>
          <w:numId w:val="3"/>
        </w:numPr>
        <w:snapToGrid w:val="0"/>
        <w:spacing w:line="600" w:lineRule="exact"/>
        <w:ind w:left="0" w:firstLineChars="200" w:firstLine="640"/>
        <w:rPr>
          <w:rFonts w:ascii="仿宋_GB2312" w:eastAsia="仿宋_GB2312" w:hint="eastAsia"/>
          <w:sz w:val="32"/>
          <w:szCs w:val="32"/>
        </w:rPr>
      </w:pPr>
      <w:r>
        <w:rPr>
          <w:rFonts w:ascii="仿宋_GB2312" w:eastAsia="仿宋_GB2312" w:hint="eastAsia"/>
          <w:sz w:val="32"/>
          <w:szCs w:val="32"/>
        </w:rPr>
        <w:t>核对动物检疫证明、“点对点”调运备案表、车辆备案信息等相关材料与信息平台记录是否一致;</w:t>
      </w:r>
    </w:p>
    <w:p>
      <w:pPr>
        <w:numPr>
          <w:ilvl w:val="0"/>
          <w:numId w:val="3"/>
        </w:numPr>
        <w:snapToGrid w:val="0"/>
        <w:spacing w:line="600" w:lineRule="exact"/>
        <w:ind w:left="0" w:firstLineChars="200" w:firstLine="640"/>
        <w:rPr>
          <w:rFonts w:ascii="仿宋_GB2312" w:eastAsia="仿宋_GB2312" w:hint="eastAsia"/>
          <w:sz w:val="32"/>
          <w:szCs w:val="32"/>
        </w:rPr>
      </w:pPr>
      <w:r>
        <w:rPr>
          <w:rFonts w:ascii="仿宋_GB2312" w:eastAsia="仿宋_GB2312" w:hint="eastAsia"/>
          <w:sz w:val="32"/>
          <w:szCs w:val="32"/>
        </w:rPr>
        <w:t>观察动物健康状况，了解动物运输途中有无死亡和其它异常现象；</w:t>
      </w:r>
    </w:p>
    <w:p>
      <w:pPr>
        <w:numPr>
          <w:ilvl w:val="0"/>
          <w:numId w:val="3"/>
        </w:numPr>
        <w:snapToGrid w:val="0"/>
        <w:spacing w:line="600" w:lineRule="exact"/>
        <w:ind w:left="0" w:firstLineChars="200" w:firstLine="640"/>
        <w:rPr>
          <w:rFonts w:ascii="仿宋_GB2312" w:eastAsia="仿宋_GB2312" w:hint="eastAsia"/>
          <w:sz w:val="32"/>
          <w:szCs w:val="32"/>
        </w:rPr>
      </w:pPr>
      <w:r>
        <w:rPr>
          <w:rFonts w:ascii="仿宋_GB2312" w:eastAsia="仿宋_GB2312" w:hint="eastAsia"/>
          <w:bCs/>
          <w:sz w:val="32"/>
          <w:szCs w:val="32"/>
        </w:rPr>
        <w:t>检查合格的，上传并确认监督检查、消毒等相关信息，签字盖章后，准予放行</w:t>
      </w:r>
      <w:r>
        <w:rPr>
          <w:rFonts w:ascii="仿宋_GB2312" w:eastAsia="仿宋_GB2312" w:hint="eastAsia"/>
          <w:sz w:val="32"/>
          <w:szCs w:val="32"/>
        </w:rPr>
        <w:t>；</w:t>
      </w:r>
    </w:p>
    <w:p>
      <w:pPr>
        <w:numPr>
          <w:ilvl w:val="0"/>
          <w:numId w:val="3"/>
        </w:numPr>
        <w:snapToGrid w:val="0"/>
        <w:spacing w:line="600" w:lineRule="exact"/>
        <w:ind w:left="0" w:firstLineChars="200" w:firstLine="640"/>
        <w:rPr>
          <w:rFonts w:ascii="仿宋_GB2312" w:eastAsia="仿宋_GB2312" w:hint="eastAsia"/>
          <w:sz w:val="32"/>
          <w:szCs w:val="32"/>
        </w:rPr>
      </w:pPr>
      <w:r>
        <w:rPr>
          <w:rFonts w:ascii="仿宋_GB2312" w:eastAsia="仿宋_GB2312" w:hint="eastAsia"/>
          <w:bCs/>
          <w:sz w:val="32"/>
          <w:szCs w:val="32"/>
        </w:rPr>
        <w:t>检查不合格的或发现有违法违规行为的，对动物及动物产品采取必要的临时隔离和控制措施，按照相关规定向当地农业农村部门报告，并及时向启运地、输入地以及有关部门通报</w:t>
      </w:r>
      <w:r>
        <w:rPr>
          <w:rFonts w:ascii="仿宋_GB2312" w:eastAsia="仿宋_GB2312" w:hint="eastAsia"/>
          <w:sz w:val="32"/>
          <w:szCs w:val="32"/>
        </w:rPr>
        <w:t>；</w:t>
      </w:r>
    </w:p>
    <w:p>
      <w:pPr>
        <w:numPr>
          <w:ilvl w:val="0"/>
          <w:numId w:val="3"/>
        </w:numPr>
        <w:snapToGrid w:val="0"/>
        <w:spacing w:line="600" w:lineRule="exact"/>
        <w:ind w:left="0" w:firstLineChars="200" w:firstLine="640"/>
        <w:rPr>
          <w:rFonts w:ascii="仿宋_GB2312" w:eastAsia="仿宋_GB2312" w:hint="eastAsia"/>
          <w:sz w:val="32"/>
          <w:szCs w:val="32"/>
        </w:rPr>
      </w:pPr>
      <w:r>
        <w:rPr>
          <w:rFonts w:ascii="仿宋_GB2312" w:eastAsia="仿宋_GB2312" w:hint="eastAsia"/>
          <w:sz w:val="32"/>
          <w:szCs w:val="32"/>
        </w:rPr>
        <w:t>对运输车辆进行消毒</w:t>
      </w:r>
      <w:r>
        <w:rPr>
          <w:rFonts w:ascii="仿宋_GB2312" w:eastAsia="仿宋_GB2312" w:hint="eastAsia"/>
          <w:bCs/>
          <w:sz w:val="32"/>
          <w:szCs w:val="32"/>
        </w:rPr>
        <w:t>。</w:t>
      </w:r>
      <w:r>
        <w:rPr>
          <w:rFonts w:ascii="仿宋_GB2312" w:eastAsia="仿宋_GB2312" w:hint="eastAsia"/>
          <w:sz w:val="32"/>
          <w:szCs w:val="32"/>
        </w:rPr>
        <w:t xml:space="preserve"> </w:t>
      </w:r>
    </w:p>
    <w:p>
      <w:pPr>
        <w:numPr>
          <w:ilvl w:val="0"/>
          <w:numId w:val="1"/>
        </w:numPr>
        <w:snapToGrid w:val="0"/>
        <w:spacing w:line="600" w:lineRule="exact"/>
        <w:ind w:left="0" w:firstLineChars="200" w:firstLine="640"/>
        <w:rPr>
          <w:rFonts w:ascii="仿宋_GB2312" w:eastAsia="仿宋_GB2312" w:cs="宋体" w:hint="eastAsia"/>
          <w:sz w:val="32"/>
          <w:szCs w:val="32"/>
          <w:lang w:bidi="ar-SA"/>
        </w:rPr>
      </w:pPr>
      <w:r>
        <w:rPr>
          <w:rFonts w:ascii="仿宋_GB2312" w:eastAsia="仿宋_GB2312"/>
          <w:sz w:val="32"/>
          <w:szCs w:val="32"/>
        </w:rPr>
        <w:t xml:space="preserve"> </w:t>
      </w:r>
      <w:r>
        <w:rPr>
          <w:rFonts w:ascii="仿宋_GB2312" w:eastAsia="仿宋_GB2312" w:hint="eastAsia"/>
          <w:sz w:val="32"/>
          <w:szCs w:val="32"/>
        </w:rPr>
        <w:t>指定通道检查站的主管部门应按照本指引要求建立健全工作人员行为规范、工作程序、内务管理等相关管理制度。</w:t>
      </w:r>
    </w:p>
    <w:p>
      <w:pPr>
        <w:numPr>
          <w:ilvl w:val="0"/>
          <w:numId w:val="1"/>
        </w:numPr>
        <w:snapToGrid w:val="0"/>
        <w:spacing w:line="600" w:lineRule="exact"/>
        <w:ind w:left="0" w:firstLineChars="200" w:firstLine="640"/>
        <w:rPr>
          <w:rFonts w:ascii="仿宋_GB2312" w:eastAsia="仿宋_GB2312" w:hint="eastAsia"/>
          <w:sz w:val="32"/>
          <w:szCs w:val="32"/>
        </w:rPr>
      </w:pPr>
      <w:r>
        <w:rPr>
          <w:rFonts w:ascii="仿宋_GB2312" w:eastAsia="仿宋_GB2312"/>
          <w:sz w:val="32"/>
          <w:szCs w:val="32"/>
        </w:rPr>
        <w:t xml:space="preserve"> </w:t>
      </w:r>
      <w:r>
        <w:rPr>
          <w:rFonts w:ascii="仿宋_GB2312" w:eastAsia="仿宋_GB2312" w:hint="eastAsia"/>
          <w:sz w:val="32"/>
          <w:szCs w:val="32"/>
        </w:rPr>
        <w:t>联席会议办公室应建立健全评估机制，加大对指定通道检查站规范化建设的指导和监督力度，及时将结果反馈给有关主管部门，作为对指定通道检查站工作进行奖惩的依据。</w:t>
      </w:r>
    </w:p>
    <w:p>
      <w:pPr>
        <w:numPr>
          <w:ilvl w:val="0"/>
          <w:numId w:val="1"/>
        </w:numPr>
        <w:snapToGrid w:val="0"/>
        <w:spacing w:line="600" w:lineRule="exact"/>
        <w:ind w:left="0" w:firstLineChars="200" w:firstLine="640"/>
        <w:rPr>
          <w:rFonts w:ascii="仿宋_GB2312" w:eastAsia="仿宋_GB2312" w:hint="eastAsia"/>
          <w:sz w:val="32"/>
          <w:szCs w:val="32"/>
        </w:rPr>
      </w:pPr>
      <w:r>
        <w:rPr>
          <w:rFonts w:ascii="仿宋_GB2312" w:eastAsia="仿宋_GB2312"/>
          <w:sz w:val="32"/>
          <w:szCs w:val="32"/>
        </w:rPr>
        <w:t xml:space="preserve"> </w:t>
      </w:r>
      <w:r>
        <w:rPr>
          <w:rFonts w:ascii="仿宋_GB2312" w:eastAsia="仿宋_GB2312" w:hint="eastAsia"/>
          <w:sz w:val="32"/>
          <w:szCs w:val="32"/>
        </w:rPr>
        <w:t>本</w:t>
      </w:r>
      <w:r>
        <w:rPr>
          <w:rFonts w:ascii="仿宋_GB2312" w:eastAsia="仿宋_GB2312" w:hint="eastAsia"/>
          <w:color w:val="000000"/>
          <w:sz w:val="32"/>
          <w:szCs w:val="32"/>
        </w:rPr>
        <w:t>办法自2020年</w:t>
      </w:r>
      <w:r>
        <w:rPr>
          <w:rFonts w:ascii="仿宋_GB2312" w:eastAsia="仿宋_GB2312"/>
          <w:color w:val="000000"/>
          <w:sz w:val="32"/>
          <w:szCs w:val="32"/>
        </w:rPr>
        <w:t>11</w:t>
      </w:r>
      <w:r>
        <w:rPr>
          <w:rFonts w:ascii="仿宋_GB2312" w:eastAsia="仿宋_GB2312" w:hint="eastAsia"/>
          <w:color w:val="000000"/>
          <w:sz w:val="32"/>
          <w:szCs w:val="32"/>
        </w:rPr>
        <w:t>月</w:t>
      </w:r>
      <w:r>
        <w:rPr>
          <w:rFonts w:ascii="仿宋_GB2312" w:eastAsia="仿宋_GB2312"/>
          <w:color w:val="000000"/>
          <w:sz w:val="32"/>
          <w:szCs w:val="32"/>
        </w:rPr>
        <w:t>30</w:t>
      </w:r>
      <w:r>
        <w:rPr>
          <w:rFonts w:ascii="仿宋_GB2312" w:eastAsia="仿宋_GB2312" w:hint="eastAsia"/>
          <w:color w:val="000000"/>
          <w:sz w:val="32"/>
          <w:szCs w:val="32"/>
        </w:rPr>
        <w:t>日起</w:t>
      </w:r>
      <w:r>
        <w:rPr>
          <w:rFonts w:ascii="仿宋_GB2312" w:eastAsia="仿宋_GB2312" w:hint="eastAsia"/>
          <w:sz w:val="32"/>
          <w:szCs w:val="32"/>
        </w:rPr>
        <w:t>施行。</w:t>
      </w:r>
    </w:p>
    <w:sectPr>
      <w:footerReference w:type="default" r:id="rId2"/>
      <w:footerReference w:type="even" r:id="rId3"/>
      <w:pgSz w:w="11907" w:h="16840"/>
      <w:pgMar w:top="1985" w:right="1361" w:bottom="1418" w:left="1531" w:header="851" w:footer="1134" w:gutter="0"/>
      <w:pgNumType w:fmt="numberInDash" w:start="11"/>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080E0000" w:usb2="00000000" w:usb3="00000000" w:csb0="00040001" w:csb1="00000000"/>
  </w:font>
  <w:font w:name="黑体">
    <w:panose1 w:val="02010600030101010101"/>
    <w:charset w:val="86"/>
    <w:family w:val="auto"/>
    <w:pitch w:val="variable"/>
    <w:sig w:usb0="00000001" w:usb1="080E0000" w:usb2="00000000" w:usb3="00000000" w:csb0="00040000" w:csb1="00000000"/>
  </w:font>
  <w:font w:name="方正小标宋简体">
    <w:altName w:val="黑体"/>
    <w:panose1 w:val="03000509000000000000"/>
    <w:charset w:val="86"/>
    <w:family w:val="script"/>
    <w:pitch w:val="variable"/>
    <w:sig w:usb0="00000001" w:usb1="080E0000" w:usb2="00000000" w:usb3="00000000" w:csb0="00040000" w:csb1="00000000"/>
  </w:font>
  <w:font w:name="楷体_GB2312">
    <w:altName w:val="楷体"/>
    <w:panose1 w:val="02010609030101010101"/>
    <w:charset w:val="86"/>
    <w:family w:val="auto"/>
    <w:pitch w:val="variable"/>
    <w:sig w:usb0="00000001" w:usb1="080E0000" w:usb2="00000000" w:usb3="00000000" w:csb0="00040000" w:csb1="00000000"/>
  </w:font>
  <w:font w:name="仿宋_GB2312">
    <w:altName w:val="仿宋"/>
    <w:panose1 w:val="02010609030101010101"/>
    <w:charset w:val="86"/>
    <w:family w:val="modern"/>
    <w:pitch w:val="variable"/>
    <w:sig w:usb0="00000001" w:usb1="080E0000" w:usb2="00000010" w:usb3="00000000" w:csb0="00040000" w:csb1="00000000"/>
  </w:font>
  <w:font w:name="Times New Roman">
    <w:panose1 w:val="02020603050405020304"/>
    <w:charset w:val="00"/>
    <w:family w:val="auto"/>
    <w:pitch w:val="variable"/>
    <w:sig w:usb0="00000A87" w:usb1="00000000" w:usb2="00000000" w:usb3="00000000" w:csb0="400001BF" w:csb1="DFF70000"/>
  </w:font>
  <w:font w:name="Calibri">
    <w:panose1 w:val="020F0502020204030204"/>
    <w:charset w:val="00"/>
    <w:family w:val="swiss"/>
    <w:pitch w:val="variable"/>
    <w:sig w:usb0="E00002FF" w:usb1="4000ACFF" w:usb2="00000001" w:usb3="00000000" w:csb0="2000019F" w:csb1="00000000"/>
  </w:font>
  <w:font w:name="Arial">
    <w:panose1 w:val="020B0604020202020204"/>
    <w:charset w:val="00"/>
    <w:family w:val="auto"/>
    <w:pitch w:val="variable"/>
    <w:sig w:usb0="00007A87" w:usb1="80000000" w:usb2="00000008" w:usb3="00000000" w:csb0="400001FF" w:csb1="FFFF0000"/>
  </w:font>
  <w:font w:name="Cambria">
    <w:panose1 w:val="02040503050406030204"/>
    <w:charset w:val="00"/>
    <w:family w:val="roman"/>
    <w:pitch w:val="variable"/>
    <w:sig w:usb0="E00002FF" w:usb1="400004FF" w:usb2="00000000" w:usb3="00000000" w:csb0="2000019F" w:csb1="00000000"/>
  </w:font>
  <w:font w:name="华文中宋">
    <w:altName w:val="微软雅黑"/>
    <w:panose1 w:val="02010600040101010101"/>
    <w:charset w:val="86"/>
    <w:family w:val="auto"/>
    <w:pitch w:val="variable"/>
    <w:sig w:usb0="00000287" w:usb1="080F0000" w:usb2="00000010" w:usb3="00000000" w:csb0="000400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1"/>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rPr>
        <w:rFonts w:ascii="宋体" w:hint="eastAsia"/>
        <w:sz w:val="28"/>
        <w:szCs w:val="28"/>
      </w:rPr>
    </w:pPr>
    <w:r>
      <w:rPr>
        <w:rStyle w:val="22"/>
        <w:rFonts w:ascii="宋体" w:hint="eastAsia"/>
        <w:sz w:val="28"/>
        <w:szCs w:val="28"/>
      </w:rPr>
      <w:fldChar w:fldCharType="begin"/>
    </w:r>
    <w:r>
      <w:rPr>
        <w:rStyle w:val="22"/>
        <w:rFonts w:ascii="宋体" w:hint="eastAsia"/>
        <w:sz w:val="28"/>
        <w:szCs w:val="28"/>
      </w:rPr>
      <w:instrText>Page</w:instrText>
    </w:r>
    <w:r>
      <w:rPr>
        <w:rStyle w:val="22"/>
        <w:rFonts w:ascii="宋体" w:hint="eastAsia"/>
        <w:sz w:val="28"/>
        <w:szCs w:val="28"/>
      </w:rPr>
      <w:fldChar w:fldCharType="separate"/>
    </w:r>
    <w:r>
      <w:rPr>
        <w:rStyle w:val="22"/>
        <w:rFonts w:ascii="宋体" w:hint="eastAsia"/>
        <w:sz w:val="28"/>
        <w:szCs w:val="28"/>
      </w:rPr>
      <w:t>- 11 -</w:t>
    </w:r>
    <w:r>
      <w:rPr>
        <w:rStyle w:val="22"/>
        <w:rFonts w:ascii="宋体" w:hint="eastAsia"/>
        <w:sz w:val="28"/>
        <w:szCs w:val="28"/>
      </w:rPr>
      <w:fldChar w:fldCharType="end"/>
    </w:r>
  </w:p>
  <w:p>
    <w:pPr>
      <w:pStyle w:val="21"/>
      <w:tabs>
        <w:tab w:val="center" w:pos="4153"/>
        <w:tab w:val="right" w:pos="8307"/>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1"/>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pPr>
    <w:r>
      <w:rPr>
        <w:rStyle w:val="22"/>
      </w:rPr>
      <w:fldChar w:fldCharType="begin"/>
    </w:r>
    <w:r>
      <w:rPr>
        <w:rStyle w:val="22"/>
      </w:rPr>
      <w:instrText>Page</w:instrText>
    </w:r>
    <w:r>
      <w:rPr>
        <w:rStyle w:val="22"/>
      </w:rPr>
      <w:fldChar w:fldCharType="separate"/>
    </w:r>
    <w:r>
      <w:rPr>
        <w:rStyle w:val="22"/>
      </w:rPr>
      <w:t>- 11 -</w:t>
    </w:r>
    <w:r>
      <w:rPr>
        <w:rStyle w:val="22"/>
      </w:rPr>
      <w:fldChar w:fldCharType="end"/>
    </w:r>
  </w:p>
  <w:p>
    <w:pPr>
      <w:pStyle w:val="21"/>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ind w:right="360" w:firstLine="360"/>
    </w:pPr>
    <w:r>
      <w:rPr>
        <w:rStyle w:val="22"/>
      </w:rPr>
      <w:fldChar w:fldCharType="begin"/>
    </w:r>
    <w:r>
      <w:rPr>
        <w:rStyle w:val="22"/>
      </w:rPr>
      <w:instrText>Page</w:instrText>
    </w:r>
    <w:r>
      <w:rPr>
        <w:rStyle w:val="22"/>
      </w:rPr>
      <w:fldChar w:fldCharType="separate"/>
    </w:r>
    <w:r>
      <w:rPr>
        <w:rStyle w:val="22"/>
      </w:rPr>
      <w:t>- 12 -</w:t>
    </w:r>
    <w:r>
      <w:rPr>
        <w:rStyle w:val="22"/>
      </w:rPr>
      <w:fldChar w:fldCharType="end"/>
    </w:r>
  </w:p>
  <w:p>
    <w:pPr>
      <w:pStyle w:val="21"/>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ind w:right="360" w:firstLine="360"/>
    </w:pPr>
    <w:r>
      <w:rPr>
        <w:rStyle w:val="22"/>
      </w:rPr>
      <w:fldChar w:fldCharType="begin"/>
    </w:r>
    <w:r>
      <w:rPr>
        <w:rStyle w:val="22"/>
      </w:rPr>
      <w:instrText>Page</w:instrText>
    </w:r>
    <w:r>
      <w:rPr>
        <w:rStyle w:val="22"/>
      </w:rPr>
      <w:fldChar w:fldCharType="separate"/>
    </w:r>
    <w:r>
      <w:rPr>
        <w:rStyle w:val="22"/>
      </w:rPr>
      <w:t>- 12 -</w:t>
    </w:r>
    <w:r>
      <w:rPr>
        <w:rStyle w:val="22"/>
      </w:rPr>
      <w:fldChar w:fldCharType="end"/>
    </w:r>
  </w:p>
  <w:p>
    <w:pPr>
      <w:pStyle w:val="21"/>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ind w:right="360" w:firstLine="360"/>
    </w:pPr>
    <w:r>
      <w:rPr>
        <w:rStyle w:val="22"/>
      </w:rPr>
      <w:fldChar w:fldCharType="begin"/>
    </w:r>
    <w:r>
      <w:rPr>
        <w:rStyle w:val="22"/>
      </w:rPr>
      <w:instrText>Page</w:instrText>
    </w:r>
    <w:r>
      <w:rPr>
        <w:rStyle w:val="22"/>
      </w:rPr>
      <w:fldChar w:fldCharType="separate"/>
    </w:r>
    <w:r>
      <w:rPr>
        <w:rStyle w:val="22"/>
      </w:rPr>
      <w:t>- 1 -</w:t>
    </w:r>
    <w:r>
      <w:rPr>
        <w:rStyle w:val="22"/>
      </w:rPr>
      <w:fldChar w:fldCharType="end"/>
    </w:r>
  </w:p>
  <w:p>
    <w:pPr>
      <w:pStyle w:val="21"/>
      <w:tabs>
        <w:tab w:val="center" w:pos="4153"/>
        <w:tab w:val="right" w:pos="8307"/>
      </w:tabs>
      <w:ind w:right="360" w:firstLine="360"/>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0BFA3492"/>
    <w:multiLevelType w:val="multilevel"/>
    <w:tmpl w:val="0BFA3492"/>
    <w:lvl w:ilvl="0">
      <w:start w:val="1"/>
      <w:numFmt w:val="japaneseCounting"/>
      <w:lvlRestart w:val="0"/>
      <w:lvlText w:val="第%1条"/>
      <w:lvlJc w:val="left"/>
      <w:pPr>
        <w:tabs>
          <w:tab w:val="num" w:pos="0"/>
        </w:tabs>
        <w:ind w:left="2402" w:hanging="1125"/>
      </w:pPr>
      <w:rPr>
        <w:rFonts w:hint="default"/>
        <w:b/>
        <w:color w:val="auto"/>
      </w:rPr>
    </w:lvl>
    <w:lvl w:ilvl="1">
      <w:start w:val="1"/>
      <w:numFmt w:val="lowerLetter"/>
      <w:lvlText w:val="%2)"/>
      <w:lvlJc w:val="left"/>
      <w:pPr>
        <w:tabs>
          <w:tab w:val="num" w:pos="0"/>
        </w:tabs>
        <w:ind w:left="1483" w:hanging="420"/>
      </w:pPr>
    </w:lvl>
    <w:lvl w:ilvl="2">
      <w:start w:val="1"/>
      <w:numFmt w:val="lowerRoman"/>
      <w:lvlText w:val="%3."/>
      <w:lvlJc w:val="right"/>
      <w:pPr>
        <w:tabs>
          <w:tab w:val="num" w:pos="0"/>
        </w:tabs>
        <w:ind w:left="1903" w:hanging="420"/>
      </w:pPr>
    </w:lvl>
    <w:lvl w:ilvl="3">
      <w:start w:val="1"/>
      <w:numFmt w:val="decimal"/>
      <w:lvlText w:val="%4."/>
      <w:lvlJc w:val="left"/>
      <w:pPr>
        <w:tabs>
          <w:tab w:val="num" w:pos="0"/>
        </w:tabs>
        <w:ind w:left="2323" w:hanging="420"/>
      </w:pPr>
    </w:lvl>
    <w:lvl w:ilvl="4">
      <w:start w:val="1"/>
      <w:numFmt w:val="lowerLetter"/>
      <w:lvlText w:val="%5)"/>
      <w:lvlJc w:val="left"/>
      <w:pPr>
        <w:tabs>
          <w:tab w:val="num" w:pos="0"/>
        </w:tabs>
        <w:ind w:left="2743" w:hanging="420"/>
      </w:pPr>
    </w:lvl>
    <w:lvl w:ilvl="5">
      <w:start w:val="1"/>
      <w:numFmt w:val="lowerRoman"/>
      <w:lvlText w:val="%6."/>
      <w:lvlJc w:val="right"/>
      <w:pPr>
        <w:tabs>
          <w:tab w:val="num" w:pos="0"/>
        </w:tabs>
        <w:ind w:left="3163" w:hanging="420"/>
      </w:pPr>
    </w:lvl>
    <w:lvl w:ilvl="6">
      <w:start w:val="1"/>
      <w:numFmt w:val="decimal"/>
      <w:lvlText w:val="%7."/>
      <w:lvlJc w:val="left"/>
      <w:pPr>
        <w:tabs>
          <w:tab w:val="num" w:pos="0"/>
        </w:tabs>
        <w:ind w:left="3583" w:hanging="420"/>
      </w:pPr>
    </w:lvl>
    <w:lvl w:ilvl="7">
      <w:start w:val="1"/>
      <w:numFmt w:val="lowerLetter"/>
      <w:lvlText w:val="%8)"/>
      <w:lvlJc w:val="left"/>
      <w:pPr>
        <w:tabs>
          <w:tab w:val="num" w:pos="0"/>
        </w:tabs>
        <w:ind w:left="4003" w:hanging="420"/>
      </w:pPr>
    </w:lvl>
    <w:lvl w:ilvl="8">
      <w:start w:val="1"/>
      <w:numFmt w:val="lowerRoman"/>
      <w:lvlText w:val="%9."/>
      <w:lvlJc w:val="right"/>
      <w:pPr>
        <w:tabs>
          <w:tab w:val="num" w:pos="0"/>
        </w:tabs>
        <w:ind w:left="4423" w:hanging="420"/>
      </w:pPr>
    </w:lvl>
  </w:abstractNum>
  <w:abstractNum w:abstractNumId="1">
    <w:nsid w:val="585A2BDC"/>
    <w:multiLevelType w:val="multilevel"/>
    <w:tmpl w:val="585A2BDC"/>
    <w:lvl w:ilvl="0">
      <w:start w:val="1"/>
      <w:numFmt w:val="japaneseCounting"/>
      <w:lvlRestart w:val="0"/>
      <w:lvlText w:val="（%1）"/>
      <w:lvlJc w:val="left"/>
      <w:pPr>
        <w:tabs>
          <w:tab w:val="num" w:pos="0"/>
        </w:tabs>
        <w:ind w:left="1720" w:hanging="1080"/>
      </w:pPr>
      <w:rPr>
        <w:rFonts w:ascii="Times New Roman" w:hAnsi="Times New Roman" w:eastAsia="仿宋_GB2312" w:hint="default"/>
      </w:rPr>
    </w:lvl>
    <w:lvl w:ilvl="1">
      <w:start w:val="1"/>
      <w:numFmt w:val="lowerLetter"/>
      <w:lvlText w:val="%2)"/>
      <w:lvlJc w:val="left"/>
      <w:pPr>
        <w:tabs>
          <w:tab w:val="num" w:pos="0"/>
        </w:tabs>
        <w:ind w:left="1480" w:hanging="420"/>
      </w:pPr>
    </w:lvl>
    <w:lvl w:ilvl="2">
      <w:start w:val="1"/>
      <w:numFmt w:val="lowerRoman"/>
      <w:lvlText w:val="%3."/>
      <w:lvlJc w:val="right"/>
      <w:pPr>
        <w:tabs>
          <w:tab w:val="num" w:pos="0"/>
        </w:tabs>
        <w:ind w:left="1900" w:hanging="420"/>
      </w:pPr>
    </w:lvl>
    <w:lvl w:ilvl="3">
      <w:start w:val="1"/>
      <w:numFmt w:val="decimal"/>
      <w:lvlText w:val="%4."/>
      <w:lvlJc w:val="left"/>
      <w:pPr>
        <w:tabs>
          <w:tab w:val="num" w:pos="0"/>
        </w:tabs>
        <w:ind w:left="2320" w:hanging="420"/>
      </w:pPr>
    </w:lvl>
    <w:lvl w:ilvl="4">
      <w:start w:val="1"/>
      <w:numFmt w:val="lowerLetter"/>
      <w:lvlText w:val="%5)"/>
      <w:lvlJc w:val="left"/>
      <w:pPr>
        <w:tabs>
          <w:tab w:val="num" w:pos="0"/>
        </w:tabs>
        <w:ind w:left="2740" w:hanging="420"/>
      </w:pPr>
    </w:lvl>
    <w:lvl w:ilvl="5">
      <w:start w:val="1"/>
      <w:numFmt w:val="lowerRoman"/>
      <w:lvlText w:val="%6."/>
      <w:lvlJc w:val="right"/>
      <w:pPr>
        <w:tabs>
          <w:tab w:val="num" w:pos="0"/>
        </w:tabs>
        <w:ind w:left="3160" w:hanging="420"/>
      </w:pPr>
    </w:lvl>
    <w:lvl w:ilvl="6">
      <w:start w:val="1"/>
      <w:numFmt w:val="decimal"/>
      <w:lvlText w:val="%7."/>
      <w:lvlJc w:val="left"/>
      <w:pPr>
        <w:tabs>
          <w:tab w:val="num" w:pos="0"/>
        </w:tabs>
        <w:ind w:left="3580" w:hanging="420"/>
      </w:pPr>
    </w:lvl>
    <w:lvl w:ilvl="7">
      <w:start w:val="1"/>
      <w:numFmt w:val="lowerLetter"/>
      <w:lvlText w:val="%8)"/>
      <w:lvlJc w:val="left"/>
      <w:pPr>
        <w:tabs>
          <w:tab w:val="num" w:pos="0"/>
        </w:tabs>
        <w:ind w:left="4000" w:hanging="420"/>
      </w:pPr>
    </w:lvl>
    <w:lvl w:ilvl="8">
      <w:start w:val="1"/>
      <w:numFmt w:val="lowerRoman"/>
      <w:lvlText w:val="%9."/>
      <w:lvlJc w:val="right"/>
      <w:pPr>
        <w:tabs>
          <w:tab w:val="num" w:pos="0"/>
        </w:tabs>
        <w:ind w:left="4420" w:hanging="420"/>
      </w:pPr>
    </w:lvl>
  </w:abstractNum>
  <w:abstractNum w:abstractNumId="2">
    <w:nsid w:val="535E7BAC"/>
    <w:multiLevelType w:val="multilevel"/>
    <w:tmpl w:val="535E7BAC"/>
    <w:lvl w:ilvl="0">
      <w:start w:val="1"/>
      <w:numFmt w:val="japaneseCounting"/>
      <w:lvlRestart w:val="0"/>
      <w:lvlText w:val="（%1）"/>
      <w:lvlJc w:val="left"/>
      <w:pPr>
        <w:tabs>
          <w:tab w:val="num" w:pos="0"/>
        </w:tabs>
        <w:ind w:left="2320" w:hanging="1680"/>
      </w:pPr>
      <w:rPr>
        <w:rFonts w:hint="default"/>
      </w:rPr>
    </w:lvl>
    <w:lvl w:ilvl="1">
      <w:start w:val="1"/>
      <w:numFmt w:val="lowerLetter"/>
      <w:lvlText w:val="%2)"/>
      <w:lvlJc w:val="left"/>
      <w:pPr>
        <w:tabs>
          <w:tab w:val="num" w:pos="0"/>
        </w:tabs>
        <w:ind w:left="1480" w:hanging="420"/>
      </w:pPr>
    </w:lvl>
    <w:lvl w:ilvl="2">
      <w:start w:val="1"/>
      <w:numFmt w:val="lowerRoman"/>
      <w:lvlText w:val="%3."/>
      <w:lvlJc w:val="right"/>
      <w:pPr>
        <w:tabs>
          <w:tab w:val="num" w:pos="0"/>
        </w:tabs>
        <w:ind w:left="1900" w:hanging="420"/>
      </w:pPr>
    </w:lvl>
    <w:lvl w:ilvl="3">
      <w:start w:val="1"/>
      <w:numFmt w:val="decimal"/>
      <w:lvlText w:val="%4."/>
      <w:lvlJc w:val="left"/>
      <w:pPr>
        <w:tabs>
          <w:tab w:val="num" w:pos="0"/>
        </w:tabs>
        <w:ind w:left="2320" w:hanging="420"/>
      </w:pPr>
    </w:lvl>
    <w:lvl w:ilvl="4">
      <w:start w:val="1"/>
      <w:numFmt w:val="lowerLetter"/>
      <w:lvlText w:val="%5)"/>
      <w:lvlJc w:val="left"/>
      <w:pPr>
        <w:tabs>
          <w:tab w:val="num" w:pos="0"/>
        </w:tabs>
        <w:ind w:left="2740" w:hanging="420"/>
      </w:pPr>
    </w:lvl>
    <w:lvl w:ilvl="5">
      <w:start w:val="1"/>
      <w:numFmt w:val="lowerRoman"/>
      <w:lvlText w:val="%6."/>
      <w:lvlJc w:val="right"/>
      <w:pPr>
        <w:tabs>
          <w:tab w:val="num" w:pos="0"/>
        </w:tabs>
        <w:ind w:left="3160" w:hanging="420"/>
      </w:pPr>
    </w:lvl>
    <w:lvl w:ilvl="6">
      <w:start w:val="1"/>
      <w:numFmt w:val="decimal"/>
      <w:lvlText w:val="%7."/>
      <w:lvlJc w:val="left"/>
      <w:pPr>
        <w:tabs>
          <w:tab w:val="num" w:pos="0"/>
        </w:tabs>
        <w:ind w:left="3580" w:hanging="420"/>
      </w:pPr>
    </w:lvl>
    <w:lvl w:ilvl="7">
      <w:start w:val="1"/>
      <w:numFmt w:val="lowerLetter"/>
      <w:lvlText w:val="%8)"/>
      <w:lvlJc w:val="left"/>
      <w:pPr>
        <w:tabs>
          <w:tab w:val="num" w:pos="0"/>
        </w:tabs>
        <w:ind w:left="4000" w:hanging="420"/>
      </w:pPr>
    </w:lvl>
    <w:lvl w:ilvl="8">
      <w:start w:val="1"/>
      <w:numFmt w:val="lowerRoman"/>
      <w:lvlText w:val="%9."/>
      <w:lvlJc w:val="right"/>
      <w:pPr>
        <w:tabs>
          <w:tab w:val="num" w:pos="0"/>
        </w:tabs>
        <w:ind w:left="4420" w:hanging="420"/>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toc 4"/>
    <w:basedOn w:val="0"/>
    <w:autoRedefine/>
    <w:next w:val="0"/>
    <w:pPr>
      <w:ind w:left="1260"/>
    </w:pPr>
  </w:style>
  <w:style w:type="paragraph" w:styleId="16">
    <w:name w:val="Normal (Web)"/>
    <w:pPr>
      <w:widowControl w:val="0"/>
      <w:jc w:val="left"/>
    </w:pPr>
    <w:rPr>
      <w:rFonts w:ascii="Calibri" w:eastAsia="宋体" w:cs="Times New Roman" w:hAnsi="Calibri"/>
      <w:kern w:val="0"/>
      <w:sz w:val="24"/>
      <w:szCs w:val="24"/>
      <w:lang w:val="en-US" w:eastAsia="zh-CN" w:bidi="ar-SA"/>
    </w:rPr>
  </w:style>
  <w:style w:type="paragraph" w:customStyle="1" w:styleId="17">
    <w:name w:val="标题设置"/>
    <w:next w:val="0"/>
    <w:pPr>
      <w:widowControl w:val="0"/>
      <w:spacing w:before="240" w:after="60"/>
      <w:jc w:val="center"/>
      <w:outlineLvl w:val="0"/>
    </w:pPr>
    <w:rPr>
      <w:rFonts w:ascii="Cambria" w:eastAsia="华文中宋" w:cs="Times New Roman" w:hAnsi="Cambria"/>
      <w:b/>
      <w:bCs/>
      <w:kern w:val="2"/>
      <w:sz w:val="36"/>
      <w:szCs w:val="32"/>
      <w:lang w:val="en-US" w:eastAsia="zh-CN" w:bidi="ar-SA"/>
    </w:rPr>
  </w:style>
  <w:style w:type="paragraph" w:customStyle="1" w:styleId="18">
    <w:name w:val="List Paragraph"/>
    <w:next w:val="15"/>
    <w:pPr>
      <w:widowControl w:val="0"/>
      <w:ind w:firstLineChars="200" w:firstLine="200"/>
      <w:jc w:val="both"/>
    </w:pPr>
    <w:rPr>
      <w:rFonts w:ascii="Calibri" w:eastAsia="宋体" w:cs="Times New Roman" w:hAnsi="Calibri"/>
      <w:kern w:val="2"/>
      <w:sz w:val="21"/>
      <w:szCs w:val="22"/>
      <w:lang w:val="en-US" w:eastAsia="zh-CN" w:bidi="ar-SA"/>
    </w:rPr>
  </w:style>
  <w:style w:type="paragraph" w:styleId="19">
    <w:name w:val="index 7"/>
    <w:basedOn w:val="0"/>
    <w:autoRedefine/>
    <w:next w:val="0"/>
    <w:pPr>
      <w:ind w:left="2520"/>
    </w:pPr>
  </w:style>
  <w:style w:type="paragraph" w:styleId="20">
    <w:name w:val="header"/>
    <w:basedOn w:val="0"/>
    <w:pPr>
      <w:pBdr>
        <w:bottom w:val="single" w:sz="6" w:space="1" w:color="auto"/>
      </w:pBdr>
      <w:tabs>
        <w:tab w:val="center" w:pos="4153"/>
        <w:tab w:val="right" w:pos="8307"/>
      </w:tabs>
      <w:snapToGrid w:val="0"/>
      <w:jc w:val="center"/>
    </w:pPr>
    <w:rPr>
      <w:sz w:val="18"/>
    </w:rPr>
  </w:style>
  <w:style w:type="paragraph" w:styleId="21">
    <w:name w:val="footer"/>
    <w:basedOn w:val="0"/>
    <w:pPr>
      <w:tabs>
        <w:tab w:val="center" w:pos="4153"/>
        <w:tab w:val="right" w:pos="8307"/>
      </w:tabs>
      <w:snapToGrid w:val="0"/>
      <w:jc w:val="left"/>
    </w:pPr>
    <w:rPr>
      <w:sz w:val="18"/>
    </w:rPr>
  </w:style>
  <w:style w:type="character" w:styleId="22">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87</TotalTime>
  <Application>Yozo_Office</Application>
  <Pages>4</Pages>
  <Words>1690</Words>
  <Characters>1711</Characters>
  <Lines>80</Lines>
  <Paragraphs>30</Paragraphs>
  <CharactersWithSpaces>1755</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Microsoft</dc:creator>
  <cp:lastModifiedBy>User</cp:lastModifiedBy>
  <cp:revision>1</cp:revision>
  <cp:lastPrinted>2020-11-17T03:51:35Z</cp:lastPrinted>
  <dcterms:created xsi:type="dcterms:W3CDTF">2020-11-04T01:02:28Z</dcterms:created>
  <dcterms:modified xsi:type="dcterms:W3CDTF">2020-11-17T03:52:50Z</dcterms:modified>
</cp:coreProperties>
</file>